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C" w:rsidRPr="00036872" w:rsidRDefault="00FF47BC" w:rsidP="00FF47BC">
      <w:pPr>
        <w:pStyle w:val="2"/>
        <w:rPr>
          <w:rFonts w:ascii="华文中宋" w:eastAsia="华文中宋" w:hAnsi="华文中宋"/>
        </w:rPr>
      </w:pPr>
      <w:r w:rsidRPr="00036872">
        <w:rPr>
          <w:rFonts w:ascii="华文中宋" w:eastAsia="华文中宋" w:hAnsi="华文中宋" w:hint="eastAsia"/>
        </w:rPr>
        <w:t>北京交通大学</w:t>
      </w:r>
      <w:proofErr w:type="gramStart"/>
      <w:r w:rsidRPr="00036872">
        <w:rPr>
          <w:rFonts w:ascii="华文中宋" w:eastAsia="华文中宋" w:hAnsi="华文中宋" w:hint="eastAsia"/>
        </w:rPr>
        <w:t>双培</w:t>
      </w:r>
      <w:r w:rsidRPr="00036872">
        <w:rPr>
          <w:rFonts w:ascii="华文中宋" w:eastAsia="华文中宋" w:hAnsi="华文中宋"/>
        </w:rPr>
        <w:t>计划</w:t>
      </w:r>
      <w:proofErr w:type="gramEnd"/>
      <w:r w:rsidRPr="00036872">
        <w:rPr>
          <w:rFonts w:ascii="华文中宋" w:eastAsia="华文中宋" w:hAnsi="华文中宋"/>
        </w:rPr>
        <w:t>学生</w:t>
      </w:r>
      <w:r w:rsidRPr="00036872">
        <w:rPr>
          <w:rFonts w:ascii="华文中宋" w:eastAsia="华文中宋" w:hAnsi="华文中宋" w:hint="eastAsia"/>
        </w:rPr>
        <w:t>奖励办法</w:t>
      </w:r>
    </w:p>
    <w:p w:rsidR="00FF47BC" w:rsidRPr="009F5743" w:rsidRDefault="00FF47BC" w:rsidP="00FF47BC">
      <w:pPr>
        <w:snapToGrid w:val="0"/>
        <w:spacing w:line="240" w:lineRule="exact"/>
        <w:rPr>
          <w:rFonts w:ascii="宋体" w:hAnsi="宋体"/>
          <w:b/>
          <w:bCs/>
          <w:kern w:val="0"/>
          <w:szCs w:val="21"/>
        </w:rPr>
      </w:pP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针对我校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学生，学校拟制定如下奖励办法：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一、基本条件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学生申请个人奖励需满足以下基本条件：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1.热爱祖国，拥护中国共产党，愿意为社会主义现代化建设服务；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2.遵守国家法律法规和校规校纪，品行端正，无违法违纪行为；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3.学习勤奋、刻苦，学习成绩优良，即上一学年学习加权平均成绩在60分以上；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4.学年思想行为测评成绩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学生内部专业排名前70%；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5.上一学年宿舍个人得分平均分达到60分以上（含60分）。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二、单项奖学金评定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1.学习优秀奖学金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学生可与我校正常学籍学生共同参评学校设立的学习优秀奖学金，一、二、三等学习优秀奖学金评定及奖励标准保持不变。</w:t>
      </w: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如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学生获评，则为其所在学院追加相应等级的学习优秀奖学金名额。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同时，设立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单项学习优秀奖学金</w:t>
      </w:r>
      <w:r w:rsidRPr="00036872">
        <w:rPr>
          <w:rFonts w:ascii="仿宋_GB2312" w:eastAsia="仿宋_GB2312" w:hAnsi="仿宋" w:hint="eastAsia"/>
          <w:sz w:val="28"/>
          <w:szCs w:val="28"/>
        </w:rPr>
        <w:t>，对未能获得学校一、二、三等学习优秀奖学金，但学习加权平均成绩在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学生内部专业排名前25%的，可获得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单项学习奖学金。学习成绩以教务部门提供的数据为准，要求无不及格现象。我校学习优秀奖学金与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单项奖学金不可兼得。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单项学习奖学金共分两档：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（1）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双培一等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学习优秀奖学金：学习加权平均成绩在专业排名前12.5%，奖励金额1000元/人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（2）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双培二等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学习优秀奖学金：学习加权平均成绩在专业排名前25%，奖励金额800元/人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2.其它类单项奖学金类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学生可与我校正常学籍学生共同参评学校设立的其它</w:t>
      </w:r>
      <w:r w:rsidRPr="00036872">
        <w:rPr>
          <w:rFonts w:ascii="仿宋_GB2312" w:eastAsia="仿宋_GB2312" w:hAnsi="仿宋" w:hint="eastAsia"/>
          <w:sz w:val="28"/>
          <w:szCs w:val="28"/>
        </w:rPr>
        <w:lastRenderedPageBreak/>
        <w:t>类单项奖学金，包括社会工作优秀、奋进、学习进步、体育活动优秀、文艺活动优秀、社会实践优秀等类别奖学金，评定标准保持不变。</w:t>
      </w: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如有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学生获评某类别单项奖学金，则为其所在学院追加相应类别的奖学金名额。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三、荣誉称号评定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学生获评“三好学生”荣誉称号需满足以下条件：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（1）学年思想行为测评成绩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学生内部专业排名前30%</w:t>
      </w:r>
      <w:r w:rsidRPr="00036872">
        <w:rPr>
          <w:rFonts w:ascii="仿宋_GB2312" w:eastAsia="仿宋_GB2312" w:hAnsi="仿宋" w:hint="eastAsia"/>
          <w:sz w:val="28"/>
          <w:szCs w:val="28"/>
        </w:rPr>
        <w:t>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（2）获得学校一、二、三等学习优秀奖学金或获得“双培”一等学习优秀奖学金；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（3）上一学年体质测试成绩达到60分以上（含60分）。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学生获评“优秀学生干部”荣誉称号需满足以下条件：</w:t>
      </w:r>
    </w:p>
    <w:p w:rsidR="00FF47BC" w:rsidRPr="009328B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  <w:highlight w:val="yellow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（1）学年思想行为测评成绩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学生内部专业排名前30%；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（2）获得二等及以上社会工作优秀奖学金；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（3）上一学年体质测试成绩达到60分以上（含60分）。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四、专项奖学金评定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学生可与我校正常学籍学生共同参评学校现有的专项奖学金，评定标准保持不变，即：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（1）荣获校级及以上三好学生或优秀学生干部称号者；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（2）符合专项奖学金提供者要求的专项条件。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2.为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学生单独设立</w:t>
      </w:r>
      <w:proofErr w:type="gramStart"/>
      <w:r w:rsidRPr="00E3320E">
        <w:rPr>
          <w:rFonts w:ascii="仿宋_GB2312" w:eastAsia="仿宋_GB2312" w:hAnsi="仿宋" w:hint="eastAsia"/>
          <w:sz w:val="28"/>
          <w:szCs w:val="28"/>
          <w:highlight w:val="yellow"/>
        </w:rPr>
        <w:t>“知行”双培专项</w:t>
      </w:r>
      <w:proofErr w:type="gramEnd"/>
      <w:r w:rsidRPr="00E3320E">
        <w:rPr>
          <w:rFonts w:ascii="仿宋_GB2312" w:eastAsia="仿宋_GB2312" w:hAnsi="仿宋" w:hint="eastAsia"/>
          <w:sz w:val="28"/>
          <w:szCs w:val="28"/>
          <w:highlight w:val="yellow"/>
        </w:rPr>
        <w:t>奖学金</w:t>
      </w:r>
      <w:r w:rsidRPr="00036872">
        <w:rPr>
          <w:rFonts w:ascii="仿宋_GB2312" w:eastAsia="仿宋_GB2312" w:hAnsi="仿宋" w:hint="eastAsia"/>
          <w:sz w:val="28"/>
          <w:szCs w:val="28"/>
        </w:rPr>
        <w:t>，评选条件为荣获校级及以上三好学生或优秀学生干部称号，奖励金额5000元/人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五、国家奖学金评定</w:t>
      </w:r>
    </w:p>
    <w:p w:rsidR="00B44FB3" w:rsidRPr="00DF5B22" w:rsidRDefault="00FF47BC" w:rsidP="00DF5B2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学生在原学籍所在学校评选国家奖学金，我校对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学生的表现进行评定，由其学籍所在学校依据相关办法评选国家奖学金。</w:t>
      </w:r>
      <w:bookmarkStart w:id="0" w:name="_GoBack"/>
      <w:bookmarkEnd w:id="0"/>
    </w:p>
    <w:sectPr w:rsidR="00B44FB3" w:rsidRPr="00DF5B22" w:rsidSect="00AB5A32">
      <w:pgSz w:w="11906" w:h="16838"/>
      <w:pgMar w:top="1418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3" w:rsidRDefault="00142BD3" w:rsidP="00FF47BC">
      <w:r>
        <w:separator/>
      </w:r>
    </w:p>
  </w:endnote>
  <w:endnote w:type="continuationSeparator" w:id="0">
    <w:p w:rsidR="00142BD3" w:rsidRDefault="00142BD3" w:rsidP="00F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3" w:rsidRDefault="00142BD3" w:rsidP="00FF47BC">
      <w:r>
        <w:separator/>
      </w:r>
    </w:p>
  </w:footnote>
  <w:footnote w:type="continuationSeparator" w:id="0">
    <w:p w:rsidR="00142BD3" w:rsidRDefault="00142BD3" w:rsidP="00FF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7"/>
    <w:rsid w:val="00142BD3"/>
    <w:rsid w:val="00AB5A32"/>
    <w:rsid w:val="00AC4DF7"/>
    <w:rsid w:val="00B44FB3"/>
    <w:rsid w:val="00DF5B22"/>
    <w:rsid w:val="00F36EF1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C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F47BC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47BC"/>
    <w:rPr>
      <w:sz w:val="18"/>
      <w:szCs w:val="18"/>
    </w:rPr>
  </w:style>
  <w:style w:type="character" w:customStyle="1" w:styleId="2Char">
    <w:name w:val="标题 2 Char"/>
    <w:basedOn w:val="a1"/>
    <w:link w:val="2"/>
    <w:rsid w:val="00FF47BC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F4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C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F47BC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47BC"/>
    <w:rPr>
      <w:sz w:val="18"/>
      <w:szCs w:val="18"/>
    </w:rPr>
  </w:style>
  <w:style w:type="character" w:customStyle="1" w:styleId="2Char">
    <w:name w:val="标题 2 Char"/>
    <w:basedOn w:val="a1"/>
    <w:link w:val="2"/>
    <w:rsid w:val="00FF47BC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F4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FFF9-895A-4A7E-9F38-890C92AD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2016-10-24T09:09:00Z</dcterms:created>
  <dcterms:modified xsi:type="dcterms:W3CDTF">2018-10-17T01:39:00Z</dcterms:modified>
</cp:coreProperties>
</file>