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hint="eastAsia" w:ascii="方正小标宋简体" w:eastAsia="方正小标宋简体"/>
          <w:b w:val="0"/>
        </w:rPr>
      </w:pPr>
      <w:r>
        <w:rPr>
          <w:rFonts w:hint="eastAsia" w:ascii="方正小标宋简体" w:eastAsia="方正小标宋简体"/>
          <w:b w:val="0"/>
        </w:rPr>
        <w:t>北京建工土木工程有限公司</w:t>
      </w:r>
      <w:r>
        <w:rPr>
          <w:rFonts w:ascii="方正小标宋简体" w:eastAsia="方正小标宋简体"/>
          <w:b w:val="0"/>
        </w:rPr>
        <w:br/>
      </w:r>
      <w:r>
        <w:rPr>
          <w:rFonts w:hint="eastAsia" w:ascii="方正小标宋简体" w:eastAsia="方正小标宋简体"/>
          <w:b w:val="0"/>
        </w:rPr>
        <w:t>202</w:t>
      </w:r>
      <w:r>
        <w:rPr>
          <w:rFonts w:hint="eastAsia" w:ascii="方正小标宋简体" w:eastAsia="方正小标宋简体"/>
          <w:b w:val="0"/>
          <w:lang w:val="en-US" w:eastAsia="zh-CN"/>
        </w:rPr>
        <w:t>2</w:t>
      </w:r>
      <w:r>
        <w:rPr>
          <w:rFonts w:hint="eastAsia" w:ascii="方正小标宋简体" w:eastAsia="方正小标宋简体"/>
          <w:b w:val="0"/>
        </w:rPr>
        <w:t>校园招聘简章</w:t>
      </w:r>
    </w:p>
    <w:p>
      <w:pPr>
        <w:pStyle w:val="3"/>
        <w:rPr>
          <w:rFonts w:ascii="仿宋" w:hAnsi="仿宋"/>
        </w:rPr>
      </w:pPr>
      <w:r>
        <w:rPr>
          <w:rFonts w:hint="eastAsia" w:ascii="仿宋" w:hAnsi="仿宋"/>
        </w:rPr>
        <w:t>一、公司简介</w:t>
      </w:r>
    </w:p>
    <w:p>
      <w:pPr>
        <w:ind w:firstLine="560" w:firstLineChars="200"/>
        <w:rPr>
          <w:rFonts w:hint="eastAsia"/>
        </w:rPr>
      </w:pPr>
      <w:r>
        <w:rPr>
          <w:rFonts w:hint="eastAsia"/>
        </w:rPr>
        <w:t>北京建工土木工程有限公司成立于1995年，前身为中德合资公司，2009年成为北京建工集团全资子公司。公司注册资本6.5亿元，经营额过百亿，是一家以基础设施投资建设为主的综合性建筑施工总承包企业，具有市政公用工程施工总承包壹级、建筑工程施工总承包壹级等多项专业资质，经营范围遍布京津冀、环渤海、长三角、大西南等区域。</w:t>
      </w:r>
    </w:p>
    <w:p>
      <w:pPr>
        <w:ind w:firstLine="560" w:firstLineChars="200"/>
      </w:pPr>
      <w:r>
        <w:rPr>
          <w:rFonts w:hint="eastAsia"/>
        </w:rPr>
        <w:t>公司坚持“让城市生活更美好”的企业愿景，在轨道交通领域承建了北京、苏州、济南、广州等地40余个地铁标段，在地下空间领域承建了北京五棵松地下车库、苏州太湖地下空间等项目，在机场基础设施领域承建了A380飞机维修库、昆明东方航空机库等项目，在房建工程领域承建了北京雁栖湖国际会展中心，北京市友谊医院等项目，在道路桥梁领域承建了贵阳南垭路5标、贵阳人民大道南段4标等项目，在生态环保领域承建了北京高碑店污水处理厂、青岛海绵城市等项目，在美丽乡村建设领域承建了宜兴农村污水治理项目、南京六合农村污水处理项目等项目，奉献了一个个精品工程，并在多个业务领域实现了核心技术的突破，荣获詹天佑奖7项、鲁班奖5项、国家优质工程奖3项，以及国家和省部级其他奖项若干。</w:t>
      </w:r>
      <w:bookmarkStart w:id="0" w:name="_GoBack"/>
      <w:bookmarkEnd w:id="0"/>
    </w:p>
    <w:p>
      <w:pPr>
        <w:pStyle w:val="3"/>
        <w:rPr>
          <w:rFonts w:hint="eastAsia"/>
        </w:rPr>
      </w:pPr>
      <w:r>
        <w:rPr>
          <w:rFonts w:hint="eastAsia"/>
        </w:rPr>
        <w:t>二、企业优势</w:t>
      </w:r>
    </w:p>
    <w:p>
      <w:pPr>
        <w:rPr>
          <w:b/>
        </w:rPr>
      </w:pPr>
      <w:r>
        <w:rPr>
          <w:rFonts w:hint="eastAsia"/>
          <w:b/>
        </w:rPr>
        <w:t>1．极具行业竞争力的薪资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工资构成：</w:t>
      </w:r>
      <w:r>
        <w:rPr>
          <w:rFonts w:hint="eastAsia"/>
        </w:rPr>
        <w:t>基本工资+岗位工资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绩效奖金：能力绩效</w:t>
      </w:r>
      <w:r>
        <w:rPr>
          <w:rFonts w:hint="eastAsia"/>
          <w:lang w:val="en-US" w:eastAsia="zh-CN"/>
        </w:rPr>
        <w:t>+月度绩效+年度绩效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效益奖金：项目兑现奖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专项奖励：安全奖、质量奖、科技奖、市场营销奖、劳动竞赛奖、收款清欠奖、结算奖等多种专项奖励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津补贴：交通补贴、通讯补贴、外埠津贴、高温补贴、供暖报销、执业资格和职称津贴、司龄津贴等</w:t>
      </w:r>
    </w:p>
    <w:p>
      <w:pPr>
        <w:rPr>
          <w:b/>
        </w:rPr>
      </w:pPr>
      <w:r>
        <w:rPr>
          <w:rFonts w:hint="eastAsia"/>
          <w:b/>
        </w:rPr>
        <w:t>2．完善的福利保障机制</w:t>
      </w:r>
    </w:p>
    <w:p>
      <w:pPr>
        <w:numPr>
          <w:ilvl w:val="0"/>
          <w:numId w:val="1"/>
        </w:numPr>
      </w:pPr>
      <w:r>
        <w:rPr>
          <w:rFonts w:hint="eastAsia"/>
        </w:rPr>
        <w:t>足额缴纳</w:t>
      </w:r>
      <w:r>
        <w:rPr>
          <w:rFonts w:hint="eastAsia"/>
          <w:lang w:eastAsia="zh-CN"/>
        </w:rPr>
        <w:t>七险二金（七险：养老</w:t>
      </w:r>
      <w:r>
        <w:rPr>
          <w:rFonts w:hint="eastAsia"/>
          <w:lang w:val="en-US" w:eastAsia="zh-CN"/>
        </w:rPr>
        <w:t>+失业+工伤+生育+医疗+补充医疗保险+职工互助保险，二金：住房公积金+企业年金</w:t>
      </w:r>
      <w:r>
        <w:rPr>
          <w:rFonts w:hint="eastAsia"/>
          <w:lang w:eastAsia="zh-CN"/>
        </w:rPr>
        <w:t>）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优秀毕业生</w:t>
      </w:r>
      <w:r>
        <w:rPr>
          <w:rFonts w:hint="eastAsia"/>
        </w:rPr>
        <w:t>北京、苏州</w:t>
      </w:r>
      <w:r>
        <w:rPr>
          <w:rFonts w:hint="eastAsia"/>
          <w:lang w:eastAsia="zh-CN"/>
        </w:rPr>
        <w:t>落户</w:t>
      </w:r>
      <w:r>
        <w:rPr>
          <w:rFonts w:hint="eastAsia"/>
        </w:rPr>
        <w:t>机会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项目提供免费食宿、青年公寓、年度体检、带薪年假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工会节日慰问、生日慰问、丰富多彩的文体活动</w:t>
      </w:r>
    </w:p>
    <w:p>
      <w:pPr>
        <w:numPr>
          <w:ilvl w:val="0"/>
          <w:numId w:val="1"/>
        </w:numPr>
      </w:pPr>
      <w:r>
        <w:rPr>
          <w:rFonts w:hint="eastAsia"/>
          <w:lang w:eastAsia="zh-CN"/>
        </w:rPr>
        <w:t>优秀毕业生入职一次性补贴</w:t>
      </w:r>
    </w:p>
    <w:p>
      <w:pPr>
        <w:spacing w:line="360" w:lineRule="auto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>3</w:t>
      </w:r>
      <w:r>
        <w:rPr>
          <w:rFonts w:hint="eastAsia"/>
          <w:b/>
          <w:bCs/>
          <w:szCs w:val="21"/>
        </w:rPr>
        <w:t>．</w:t>
      </w:r>
      <w:r>
        <w:rPr>
          <w:rFonts w:hint="eastAsia"/>
          <w:b/>
          <w:bCs/>
          <w:szCs w:val="21"/>
          <w:lang w:eastAsia="zh-CN"/>
        </w:rPr>
        <w:t>多通道职业发展序列</w:t>
      </w:r>
    </w:p>
    <w:p>
      <w:pPr>
        <w:ind w:firstLine="560" w:firstLineChars="200"/>
        <w:rPr>
          <w:rFonts w:hint="eastAsia"/>
          <w:b w:val="0"/>
          <w:bCs w:val="0"/>
          <w:szCs w:val="21"/>
          <w:lang w:val="en-US" w:eastAsia="zh-CN"/>
        </w:rPr>
      </w:pPr>
      <w:r>
        <w:rPr>
          <w:rFonts w:hint="eastAsia"/>
          <w:b w:val="0"/>
          <w:bCs w:val="0"/>
          <w:szCs w:val="21"/>
          <w:lang w:eastAsia="zh-CN"/>
        </w:rPr>
        <w:t>通过管理序列、专业序列、项目经理序列、技能序列“四序列”职业发展通道，多专业轮岗、跨序列转岗、纵向晋升、横向发展，定期考核，在</w:t>
      </w:r>
      <w:r>
        <w:rPr>
          <w:rFonts w:hint="eastAsia"/>
          <w:b w:val="0"/>
          <w:bCs w:val="0"/>
          <w:szCs w:val="21"/>
          <w:lang w:val="en-US" w:eastAsia="zh-CN"/>
        </w:rPr>
        <w:t>3-5年内，将优秀新员工培养为项目中、高层骨干和公司业务骨干。</w:t>
      </w:r>
    </w:p>
    <w:tbl>
      <w:tblPr>
        <w:tblStyle w:val="14"/>
        <w:tblW w:w="88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1"/>
        <w:gridCol w:w="496"/>
        <w:gridCol w:w="488"/>
        <w:gridCol w:w="548"/>
        <w:gridCol w:w="482"/>
        <w:gridCol w:w="455"/>
        <w:gridCol w:w="455"/>
        <w:gridCol w:w="456"/>
        <w:gridCol w:w="455"/>
        <w:gridCol w:w="455"/>
        <w:gridCol w:w="455"/>
        <w:gridCol w:w="456"/>
        <w:gridCol w:w="454"/>
        <w:gridCol w:w="455"/>
        <w:gridCol w:w="455"/>
        <w:gridCol w:w="455"/>
        <w:gridCol w:w="751"/>
        <w:gridCol w:w="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  <w:jc w:val="center"/>
        </w:trPr>
        <w:tc>
          <w:tcPr>
            <w:tcW w:w="5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职类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管理类（M）</w:t>
            </w:r>
          </w:p>
        </w:tc>
        <w:tc>
          <w:tcPr>
            <w:tcW w:w="6036" w:type="dxa"/>
            <w:gridSpan w:val="1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专业类（P）</w:t>
            </w:r>
          </w:p>
        </w:tc>
        <w:tc>
          <w:tcPr>
            <w:tcW w:w="7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项目经理类（PM）</w:t>
            </w:r>
          </w:p>
        </w:tc>
        <w:tc>
          <w:tcPr>
            <w:tcW w:w="59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技能类（O）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52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序列</w:t>
            </w:r>
          </w:p>
        </w:tc>
        <w:tc>
          <w:tcPr>
            <w:tcW w:w="49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管理</w:t>
            </w:r>
          </w:p>
        </w:tc>
        <w:tc>
          <w:tcPr>
            <w:tcW w:w="488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顾问</w:t>
            </w:r>
          </w:p>
        </w:tc>
        <w:tc>
          <w:tcPr>
            <w:tcW w:w="548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战略与运营</w:t>
            </w:r>
          </w:p>
        </w:tc>
        <w:tc>
          <w:tcPr>
            <w:tcW w:w="482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财务资金与审计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人力资源管理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政工管理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行政管理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法律事务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信息技术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市场营销</w:t>
            </w:r>
          </w:p>
        </w:tc>
        <w:tc>
          <w:tcPr>
            <w:tcW w:w="456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科技质量</w:t>
            </w:r>
          </w:p>
        </w:tc>
        <w:tc>
          <w:tcPr>
            <w:tcW w:w="454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商务管理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投资管理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生产安全</w:t>
            </w:r>
          </w:p>
        </w:tc>
        <w:tc>
          <w:tcPr>
            <w:tcW w:w="45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物资采购</w:t>
            </w:r>
          </w:p>
        </w:tc>
        <w:tc>
          <w:tcPr>
            <w:tcW w:w="75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项目经理</w:t>
            </w:r>
          </w:p>
        </w:tc>
        <w:tc>
          <w:tcPr>
            <w:tcW w:w="591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-SA"/>
              </w:rPr>
              <w:t>技能序列</w:t>
            </w:r>
          </w:p>
        </w:tc>
      </w:tr>
    </w:tbl>
    <w:p>
      <w:pPr>
        <w:spacing w:line="360" w:lineRule="auto"/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4</w:t>
      </w:r>
      <w:r>
        <w:rPr>
          <w:rFonts w:hint="eastAsia"/>
          <w:b/>
          <w:bCs/>
          <w:szCs w:val="21"/>
        </w:rPr>
        <w:t>．全方位的人才培养体系</w:t>
      </w:r>
    </w:p>
    <w:p>
      <w:pPr>
        <w:numPr>
          <w:ilvl w:val="0"/>
          <w:numId w:val="2"/>
        </w:numPr>
      </w:pPr>
      <w:r>
        <w:rPr>
          <w:rFonts w:hint="eastAsia"/>
        </w:rPr>
        <w:t>引导式入职培训：系统传授行业全流程知识、“一人一册”制定人才培养计划</w:t>
      </w:r>
    </w:p>
    <w:p>
      <w:pPr>
        <w:numPr>
          <w:ilvl w:val="0"/>
          <w:numId w:val="2"/>
        </w:numPr>
      </w:pPr>
      <w:r>
        <w:rPr>
          <w:rFonts w:hint="eastAsia"/>
        </w:rPr>
        <w:t>导师制见习培养：导师带徒“一对一”传帮带</w:t>
      </w:r>
    </w:p>
    <w:p>
      <w:pPr>
        <w:numPr>
          <w:ilvl w:val="0"/>
          <w:numId w:val="2"/>
        </w:numPr>
      </w:pPr>
      <w:r>
        <w:rPr>
          <w:rFonts w:hint="eastAsia"/>
        </w:rPr>
        <w:t>针对性岗位培训：企业大学覆盖全员的岗位技能培训、后备干部人才培训</w:t>
      </w:r>
    </w:p>
    <w:p>
      <w:pPr>
        <w:numPr>
          <w:ilvl w:val="0"/>
          <w:numId w:val="2"/>
        </w:numPr>
      </w:pPr>
      <w:r>
        <w:rPr>
          <w:rFonts w:hint="eastAsia"/>
        </w:rPr>
        <w:t>体验式轮岗培训：定期挂职轮岗锻炼，提供快速成长平台</w:t>
      </w:r>
    </w:p>
    <w:p>
      <w:pPr>
        <w:numPr>
          <w:ilvl w:val="0"/>
          <w:numId w:val="2"/>
        </w:numPr>
      </w:pPr>
      <w:r>
        <w:rPr>
          <w:rFonts w:hint="eastAsia"/>
        </w:rPr>
        <w:t>福利式进阶培训：免费提供知识更新培训、职称考试培训；校企合作在职硕士学位深造</w:t>
      </w:r>
    </w:p>
    <w:p>
      <w:pPr>
        <w:numPr>
          <w:ilvl w:val="0"/>
          <w:numId w:val="3"/>
        </w:numPr>
      </w:pPr>
      <w:r>
        <w:rPr>
          <w:rFonts w:hint="eastAsia"/>
        </w:rPr>
        <w:t>“8090人才”工程：《“十三五”人才规划》明确提拔一批“</w:t>
      </w:r>
      <w:r>
        <w:t>80</w:t>
      </w:r>
      <w:r>
        <w:rPr>
          <w:rFonts w:hint="eastAsia"/>
        </w:rPr>
        <w:t>后”公司高层领导人员、一批“</w:t>
      </w:r>
      <w:r>
        <w:t>90</w:t>
      </w:r>
      <w:r>
        <w:rPr>
          <w:rFonts w:hint="eastAsia"/>
        </w:rPr>
        <w:t>”</w:t>
      </w:r>
      <w:r>
        <w:t>中层领导人员</w:t>
      </w:r>
    </w:p>
    <w:p>
      <w:pPr>
        <w:numPr>
          <w:ilvl w:val="0"/>
          <w:numId w:val="3"/>
        </w:numPr>
      </w:pPr>
      <w:r>
        <w:rPr>
          <w:rFonts w:hint="eastAsia"/>
        </w:rPr>
        <w:t>多通道职业规划：涵盖领导干部、管理人才与技术人才等全方位的人才成长通道；</w:t>
      </w:r>
    </w:p>
    <w:p>
      <w:pPr>
        <w:numPr>
          <w:ilvl w:val="0"/>
          <w:numId w:val="3"/>
        </w:numPr>
      </w:pPr>
      <w:r>
        <w:rPr>
          <w:rFonts w:hint="eastAsia"/>
        </w:rPr>
        <w:t>人性化调配机制：兼顾员工的人性化工作调配机制，实现共同发展</w:t>
      </w:r>
    </w:p>
    <w:p>
      <w:pPr>
        <w:numPr>
          <w:ilvl w:val="0"/>
          <w:numId w:val="3"/>
        </w:numPr>
      </w:pPr>
      <w:r>
        <w:rPr>
          <w:rFonts w:hint="eastAsia"/>
        </w:rPr>
        <w:t>开放式竞聘选拔：以能力业绩为导向，定期全员竞聘核心人才；</w:t>
      </w:r>
    </w:p>
    <w:p>
      <w:pPr>
        <w:spacing w:line="360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  <w:lang w:val="en-US" w:eastAsia="zh-CN"/>
        </w:rPr>
        <w:t>5</w:t>
      </w:r>
      <w:r>
        <w:rPr>
          <w:rFonts w:hint="eastAsia"/>
          <w:b/>
          <w:bCs/>
          <w:szCs w:val="21"/>
        </w:rPr>
        <w:t>．以人为本的企业文化</w:t>
      </w:r>
    </w:p>
    <w:p>
      <w:pPr>
        <w:numPr>
          <w:ilvl w:val="0"/>
          <w:numId w:val="4"/>
        </w:numPr>
      </w:pPr>
      <w:r>
        <w:rPr>
          <w:rFonts w:hint="eastAsia"/>
        </w:rPr>
        <w:t>年轻活力的事业团队：员工平均年龄36岁，45岁以下占比86%；管理人员中本科及以上学历占比80%以上</w:t>
      </w:r>
    </w:p>
    <w:p>
      <w:pPr>
        <w:numPr>
          <w:ilvl w:val="0"/>
          <w:numId w:val="4"/>
        </w:numPr>
      </w:pPr>
      <w:r>
        <w:rPr>
          <w:rFonts w:hint="eastAsia"/>
        </w:rPr>
        <w:t>温馨和谐的企业氛围：文体室、健身房、咖啡区、母婴室、探亲房等办公配套设施齐全；篮球、足球、游泳、瑜伽等各类文体运动丰富；踏青、观影、联谊、文艺汇演等业余生活充实</w:t>
      </w:r>
    </w:p>
    <w:p>
      <w:pPr>
        <w:numPr>
          <w:ilvl w:val="0"/>
          <w:numId w:val="4"/>
        </w:numPr>
      </w:pPr>
      <w:r>
        <w:rPr>
          <w:rFonts w:hint="eastAsia"/>
        </w:rPr>
        <w:t>不忘初心的国企担当：走访慰问助力精准扶贫、开展助学圆满学子、救灾捐赠送去温暖、志愿服务热心公益</w:t>
      </w:r>
    </w:p>
    <w:p>
      <w:pPr>
        <w:pStyle w:val="3"/>
      </w:pPr>
      <w:r>
        <w:rPr>
          <w:rFonts w:hint="eastAsia"/>
        </w:rPr>
        <w:t>三、岗位需求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1、招聘</w:t>
      </w:r>
      <w:r>
        <w:rPr>
          <w:szCs w:val="21"/>
        </w:rPr>
        <w:t>对象：</w:t>
      </w:r>
    </w:p>
    <w:p>
      <w:pPr>
        <w:ind w:firstLine="560" w:firstLineChars="200"/>
      </w:pP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届应届</w:t>
      </w:r>
      <w:r>
        <w:t>毕业生（本科生、</w:t>
      </w:r>
      <w:r>
        <w:rPr>
          <w:rFonts w:hint="eastAsia"/>
        </w:rPr>
        <w:t>硕士</w:t>
      </w:r>
      <w:r>
        <w:t>研究生</w:t>
      </w:r>
      <w:r>
        <w:rPr>
          <w:rFonts w:hint="eastAsia"/>
          <w:lang w:eastAsia="zh-CN"/>
        </w:rPr>
        <w:t>、博士研究生</w:t>
      </w:r>
      <w:r>
        <w:rPr>
          <w:rFonts w:hint="eastAsia"/>
        </w:rPr>
        <w:t>）。</w:t>
      </w:r>
    </w:p>
    <w:p>
      <w:pPr>
        <w:spacing w:line="360" w:lineRule="auto"/>
        <w:rPr>
          <w:szCs w:val="21"/>
        </w:rPr>
      </w:pPr>
      <w:r>
        <w:rPr>
          <w:rFonts w:hint="eastAsia"/>
          <w:szCs w:val="21"/>
        </w:rPr>
        <w:t>2、专业</w:t>
      </w:r>
      <w:r>
        <w:rPr>
          <w:szCs w:val="21"/>
        </w:rPr>
        <w:t>要求</w:t>
      </w:r>
      <w:r>
        <w:rPr>
          <w:rFonts w:hint="eastAsia"/>
          <w:szCs w:val="21"/>
        </w:rPr>
        <w:t>：</w:t>
      </w:r>
    </w:p>
    <w:tbl>
      <w:tblPr>
        <w:tblStyle w:val="15"/>
        <w:tblpPr w:leftFromText="180" w:rightFromText="180" w:vertAnchor="text" w:horzAnchor="page" w:tblpXSpec="center" w:tblpY="346"/>
        <w:tblOverlap w:val="never"/>
        <w:tblW w:w="93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631"/>
        <w:gridCol w:w="2631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432" w:type="dxa"/>
            <w:shd w:val="clear" w:color="auto" w:fill="D9D9D9"/>
            <w:vAlign w:val="center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类别</w:t>
            </w:r>
          </w:p>
        </w:tc>
        <w:tc>
          <w:tcPr>
            <w:tcW w:w="2631" w:type="dxa"/>
            <w:shd w:val="clear" w:color="auto" w:fill="D9D9D9"/>
            <w:vAlign w:val="center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工程技术类</w:t>
            </w:r>
          </w:p>
        </w:tc>
        <w:tc>
          <w:tcPr>
            <w:tcW w:w="2631" w:type="dxa"/>
            <w:shd w:val="clear" w:color="auto" w:fill="D9D9D9"/>
            <w:vAlign w:val="center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  <w:t>综合职能类</w:t>
            </w:r>
          </w:p>
        </w:tc>
        <w:tc>
          <w:tcPr>
            <w:tcW w:w="2632" w:type="dxa"/>
            <w:shd w:val="clear" w:color="auto" w:fill="D9D9D9"/>
            <w:vAlign w:val="center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kern w:val="0"/>
                <w:sz w:val="20"/>
                <w:szCs w:val="20"/>
              </w:rPr>
            </w:pPr>
            <w:r>
              <w:rPr>
                <w:rFonts w:hint="eastAsia" w:ascii="Calibri" w:hAnsi="Calibri" w:eastAsia="宋体" w:cs="Times New Roman"/>
                <w:b/>
                <w:kern w:val="0"/>
                <w:sz w:val="20"/>
                <w:szCs w:val="20"/>
              </w:rPr>
              <w:t>科技中心研发岗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  <w:jc w:val="center"/>
        </w:trPr>
        <w:tc>
          <w:tcPr>
            <w:tcW w:w="1432" w:type="dxa"/>
            <w:vAlign w:val="center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631" w:type="dxa"/>
            <w:vAlign w:val="top"/>
          </w:tcPr>
          <w:p>
            <w:pPr>
              <w:pStyle w:val="18"/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工程力学、机械工程、电气工程、土木工程、水利工程、测绘工程、地质工程、采矿工程、安全技术工程、交通运输工程、环境工程、工程管理等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631" w:type="dxa"/>
            <w:vAlign w:val="top"/>
          </w:tcPr>
          <w:p>
            <w:pPr>
              <w:pStyle w:val="18"/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哲学、经济学、法学、文学、管理学、金融、税务、会计等</w:t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相关专业</w:t>
            </w:r>
          </w:p>
        </w:tc>
        <w:tc>
          <w:tcPr>
            <w:tcW w:w="2632" w:type="dxa"/>
            <w:vAlign w:val="top"/>
          </w:tcPr>
          <w:p>
            <w:pPr>
              <w:pStyle w:val="18"/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工程力学、机械工程、电气工程、土木工程、计算机科学与技术、信息与通信工程、控制科学与工程、交通运输工程等相关专业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32" w:type="dxa"/>
            <w:vAlign w:val="top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2631" w:type="dxa"/>
            <w:vAlign w:val="center"/>
          </w:tcPr>
          <w:p>
            <w:pPr>
              <w:pStyle w:val="18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631" w:type="dxa"/>
            <w:vAlign w:val="center"/>
          </w:tcPr>
          <w:p>
            <w:pPr>
              <w:pStyle w:val="18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632" w:type="dxa"/>
            <w:vAlign w:val="top"/>
          </w:tcPr>
          <w:p>
            <w:pPr>
              <w:pStyle w:val="18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硕士及以上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32" w:type="dxa"/>
            <w:vAlign w:val="top"/>
          </w:tcPr>
          <w:p>
            <w:pPr>
              <w:pStyle w:val="18"/>
              <w:jc w:val="center"/>
              <w:rPr>
                <w:rFonts w:hint="eastAsia" w:ascii="Calibri" w:hAnsi="Calibri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Times New Roman"/>
                <w:b/>
                <w:bCs/>
                <w:kern w:val="0"/>
                <w:sz w:val="20"/>
                <w:szCs w:val="20"/>
                <w:lang w:eastAsia="zh-CN"/>
              </w:rPr>
              <w:t>招聘人数</w:t>
            </w:r>
          </w:p>
        </w:tc>
        <w:tc>
          <w:tcPr>
            <w:tcW w:w="2631" w:type="dxa"/>
            <w:vAlign w:val="center"/>
          </w:tcPr>
          <w:p>
            <w:pPr>
              <w:pStyle w:val="18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2631" w:type="dxa"/>
            <w:vAlign w:val="center"/>
          </w:tcPr>
          <w:p>
            <w:pPr>
              <w:pStyle w:val="18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2632" w:type="dxa"/>
            <w:vAlign w:val="top"/>
          </w:tcPr>
          <w:p>
            <w:pPr>
              <w:pStyle w:val="18"/>
              <w:jc w:val="center"/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432" w:type="dxa"/>
            <w:vAlign w:val="top"/>
          </w:tcPr>
          <w:p>
            <w:pPr>
              <w:pStyle w:val="18"/>
              <w:jc w:val="center"/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alibri" w:hAnsi="Calibri" w:eastAsia="宋体" w:cs="Times New Roman"/>
                <w:b/>
                <w:bCs/>
                <w:kern w:val="0"/>
                <w:sz w:val="20"/>
                <w:szCs w:val="20"/>
              </w:rPr>
              <w:t>工作地点</w:t>
            </w:r>
          </w:p>
        </w:tc>
        <w:tc>
          <w:tcPr>
            <w:tcW w:w="5262" w:type="dxa"/>
            <w:gridSpan w:val="2"/>
            <w:vAlign w:val="center"/>
          </w:tcPr>
          <w:p>
            <w:pPr>
              <w:pStyle w:val="18"/>
              <w:jc w:val="center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北京、山东、江苏、云南、贵州、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四川、湖北</w:t>
            </w:r>
            <w:r>
              <w:rPr>
                <w:rFonts w:hint="eastAsia" w:ascii="Calibri" w:hAnsi="Calibri" w:cs="Times New Roman"/>
                <w:kern w:val="0"/>
                <w:sz w:val="20"/>
                <w:szCs w:val="20"/>
                <w:lang w:eastAsia="zh-CN"/>
              </w:rPr>
              <w:t>、福建</w:t>
            </w:r>
          </w:p>
        </w:tc>
        <w:tc>
          <w:tcPr>
            <w:tcW w:w="2632" w:type="dxa"/>
            <w:vAlign w:val="top"/>
          </w:tcPr>
          <w:p>
            <w:pPr>
              <w:pStyle w:val="18"/>
              <w:jc w:val="center"/>
            </w:pP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</w:rPr>
              <w:t>北京</w:t>
            </w:r>
          </w:p>
        </w:tc>
      </w:tr>
    </w:tbl>
    <w:p>
      <w:r>
        <w:rPr>
          <w:rFonts w:hint="eastAsia"/>
        </w:rPr>
        <w:t>3、学习成绩要求：</w:t>
      </w:r>
    </w:p>
    <w:p>
      <w:pPr>
        <w:ind w:firstLine="560" w:firstLineChars="200"/>
      </w:pPr>
      <w:r>
        <w:rPr>
          <w:rFonts w:hint="eastAsia"/>
        </w:rPr>
        <w:t>成绩良好、专业课程优秀，大学英语四级及以上，熟练使用办公软件。</w:t>
      </w:r>
    </w:p>
    <w:p>
      <w:r>
        <w:t>4</w:t>
      </w:r>
      <w:r>
        <w:rPr>
          <w:rFonts w:hint="eastAsia"/>
        </w:rPr>
        <w:t>、综合素质要求：</w:t>
      </w:r>
    </w:p>
    <w:p>
      <w:pPr>
        <w:ind w:firstLine="560" w:firstLineChars="200"/>
      </w:pPr>
      <w:r>
        <w:rPr>
          <w:rFonts w:hint="eastAsia"/>
        </w:rPr>
        <w:t>身体健康，积极</w:t>
      </w:r>
      <w:r>
        <w:t>进取，</w:t>
      </w:r>
      <w:r>
        <w:rPr>
          <w:rFonts w:hint="eastAsia"/>
        </w:rPr>
        <w:t>具备良好的语言表达能力；热爱建筑工程事业，认同北京建工的企业文化和价值观，具有强烈的责任感与吃苦耐劳的品格</w:t>
      </w:r>
      <w:r>
        <w:rPr>
          <w:rFonts w:hint="eastAsia"/>
          <w:lang w:eastAsia="zh-CN"/>
        </w:rPr>
        <w:t>。学生干部、党员优先录取。</w:t>
      </w:r>
    </w:p>
    <w:p>
      <w:pPr>
        <w:pStyle w:val="3"/>
      </w:pPr>
      <w:r>
        <w:rPr>
          <w:rFonts w:hint="eastAsia"/>
        </w:rPr>
        <w:t>四、招聘流程</w:t>
      </w:r>
    </w:p>
    <w:p>
      <w:r>
        <w:rPr>
          <w:rFonts w:hint="eastAsia"/>
        </w:rPr>
        <w:t>1、</w:t>
      </w:r>
      <w:r>
        <w:rPr>
          <w:rFonts w:hint="eastAsia"/>
          <w:b/>
        </w:rPr>
        <w:t>简历投递</w:t>
      </w:r>
      <w:r>
        <w:rPr>
          <w:rFonts w:hint="eastAsia"/>
        </w:rPr>
        <w:t>：网上简历投递、宣讲会、双选会现场简历投递。</w:t>
      </w:r>
    </w:p>
    <w:p>
      <w:r>
        <w:t>2</w:t>
      </w:r>
      <w:r>
        <w:rPr>
          <w:rFonts w:hint="eastAsia"/>
        </w:rPr>
        <w:t>、</w:t>
      </w:r>
      <w:r>
        <w:rPr>
          <w:rFonts w:hint="eastAsia"/>
          <w:b/>
        </w:rPr>
        <w:t>简历筛选</w:t>
      </w:r>
      <w:r>
        <w:rPr>
          <w:rFonts w:hint="eastAsia"/>
        </w:rPr>
        <w:t>：公司人力资源部将组织相关专业人员就所投递的简历进行筛选，主要评估申请人的专业成绩、社会活动、实习经历以及其他特长等方面。</w:t>
      </w:r>
    </w:p>
    <w:p>
      <w:r>
        <w:rPr>
          <w:rFonts w:hint="eastAsia"/>
        </w:rPr>
        <w:t>3、</w:t>
      </w:r>
      <w:r>
        <w:rPr>
          <w:rFonts w:hint="eastAsia"/>
          <w:b/>
          <w:lang w:eastAsia="zh-CN"/>
        </w:rPr>
        <w:t>面试筛选：</w:t>
      </w:r>
      <w:r>
        <w:rPr>
          <w:rFonts w:hint="eastAsia"/>
        </w:rPr>
        <w:t>简历通过评估的申请人将被邀请参加人力资源部组织</w:t>
      </w:r>
      <w:r>
        <w:rPr>
          <w:rFonts w:hint="eastAsia"/>
          <w:lang w:eastAsia="zh-CN"/>
        </w:rPr>
        <w:t>参加</w:t>
      </w:r>
      <w:r>
        <w:rPr>
          <w:rFonts w:hint="eastAsia"/>
        </w:rPr>
        <w:t>面试，人力资源部会根据面试表现来决定是否安排下一轮测试。</w:t>
      </w:r>
    </w:p>
    <w:p>
      <w:r>
        <w:rPr>
          <w:rFonts w:hint="eastAsia"/>
        </w:rPr>
        <w:t>4、</w:t>
      </w:r>
      <w:r>
        <w:rPr>
          <w:rFonts w:hint="eastAsia"/>
          <w:b/>
        </w:rPr>
        <w:t>网上测评</w:t>
      </w:r>
      <w:r>
        <w:rPr>
          <w:rFonts w:hint="eastAsia"/>
        </w:rPr>
        <w:t>：通过一轮面试的申请人将被邀请参加网络在线测评，具体以邮件的形式通知。</w:t>
      </w:r>
    </w:p>
    <w:p>
      <w:r>
        <w:rPr>
          <w:rFonts w:hint="eastAsia"/>
        </w:rPr>
        <w:t>5、</w:t>
      </w:r>
      <w:r>
        <w:rPr>
          <w:rFonts w:hint="eastAsia"/>
          <w:b/>
          <w:lang w:val="en-US" w:eastAsia="zh-CN"/>
        </w:rPr>
        <w:t>offer发放</w:t>
      </w:r>
      <w:r>
        <w:rPr>
          <w:rFonts w:hint="eastAsia"/>
        </w:rPr>
        <w:t>：</w:t>
      </w:r>
      <w:r>
        <w:rPr>
          <w:rFonts w:hint="eastAsia"/>
          <w:lang w:eastAsia="zh-CN"/>
        </w:rPr>
        <w:t>测评通过的申请人将收到公司的录用通知</w:t>
      </w:r>
      <w:r>
        <w:rPr>
          <w:rFonts w:hint="eastAsia"/>
        </w:rPr>
        <w:t>。</w:t>
      </w:r>
    </w:p>
    <w:p>
      <w:r>
        <w:rPr>
          <w:rFonts w:hint="eastAsia"/>
        </w:rPr>
        <w:t>6、人力资源部将根据实际招聘需要，进行相关环节的增删。</w:t>
      </w:r>
    </w:p>
    <w:p>
      <w:pPr>
        <w:pStyle w:val="3"/>
      </w:pPr>
      <w:r>
        <w:rPr>
          <w:rFonts w:hint="eastAsia"/>
        </w:rPr>
        <w:t>五</w:t>
      </w:r>
      <w:r>
        <w:t>、加入我们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 w:cs="Tahoma"/>
          <w:kern w:val="0"/>
          <w:szCs w:val="21"/>
        </w:rPr>
        <w:t>招聘</w:t>
      </w:r>
      <w:r>
        <w:rPr>
          <w:rFonts w:ascii="宋体" w:hAnsi="宋体" w:cs="Tahoma"/>
          <w:kern w:val="0"/>
          <w:szCs w:val="21"/>
        </w:rPr>
        <w:t>邮箱：</w:t>
      </w:r>
      <w:r>
        <w:fldChar w:fldCharType="begin"/>
      </w:r>
      <w:r>
        <w:instrText xml:space="preserve">HYPERLINK "mailto:HR@bcegc.cn" </w:instrText>
      </w:r>
      <w:r>
        <w:fldChar w:fldCharType="separate"/>
      </w:r>
      <w:r>
        <w:rPr>
          <w:rFonts w:ascii="宋体" w:hAnsi="宋体" w:cs="Tahoma"/>
          <w:kern w:val="0"/>
          <w:szCs w:val="21"/>
        </w:rPr>
        <w:t>hr</w:t>
      </w:r>
      <w:r>
        <w:fldChar w:fldCharType="end"/>
      </w:r>
      <w:r>
        <w:fldChar w:fldCharType="begin"/>
      </w:r>
      <w:r>
        <w:instrText xml:space="preserve">HYPERLINK "mailto:HR@bcegc.cn" </w:instrText>
      </w:r>
      <w:r>
        <w:fldChar w:fldCharType="separate"/>
      </w:r>
      <w:r>
        <w:rPr>
          <w:rFonts w:ascii="宋体" w:hAnsi="宋体" w:cs="Tahoma"/>
          <w:kern w:val="0"/>
          <w:szCs w:val="21"/>
        </w:rPr>
        <w:t>@bcegc.cn</w:t>
      </w:r>
      <w:r>
        <w:fldChar w:fldCharType="end"/>
      </w:r>
      <w:r>
        <w:rPr>
          <w:rFonts w:hint="eastAsia" w:ascii="宋体" w:hAnsi="宋体" w:cs="Tahoma"/>
          <w:kern w:val="0"/>
          <w:szCs w:val="21"/>
        </w:rPr>
        <w:t>（投递</w:t>
      </w:r>
      <w:r>
        <w:rPr>
          <w:rFonts w:ascii="宋体" w:hAnsi="宋体" w:cs="Tahoma"/>
          <w:kern w:val="0"/>
          <w:szCs w:val="21"/>
        </w:rPr>
        <w:t>简历</w:t>
      </w:r>
      <w:r>
        <w:rPr>
          <w:rFonts w:hint="eastAsia" w:ascii="宋体" w:hAnsi="宋体" w:cs="Tahoma"/>
          <w:kern w:val="0"/>
          <w:szCs w:val="21"/>
        </w:rPr>
        <w:t>请将</w:t>
      </w:r>
      <w:r>
        <w:rPr>
          <w:rFonts w:ascii="宋体" w:hAnsi="宋体" w:cs="Tahoma"/>
          <w:kern w:val="0"/>
          <w:szCs w:val="21"/>
        </w:rPr>
        <w:t>标题设置为“</w:t>
      </w:r>
      <w:r>
        <w:rPr>
          <w:rFonts w:hint="eastAsia" w:ascii="宋体" w:hAnsi="宋体" w:cs="Tahoma"/>
          <w:kern w:val="0"/>
          <w:szCs w:val="21"/>
        </w:rPr>
        <w:t>学校</w:t>
      </w:r>
      <w:r>
        <w:rPr>
          <w:rFonts w:ascii="宋体" w:hAnsi="宋体" w:cs="Tahoma"/>
          <w:kern w:val="0"/>
          <w:szCs w:val="21"/>
        </w:rPr>
        <w:t>+专业+学历”）</w:t>
      </w:r>
    </w:p>
    <w:p>
      <w:pPr>
        <w:rPr>
          <w:rFonts w:ascii="宋体" w:hAnsi="宋体"/>
          <w:szCs w:val="21"/>
        </w:rPr>
      </w:pPr>
      <w:r>
        <w:rPr>
          <w:rFonts w:ascii="宋体" w:hAnsi="宋体" w:cs="Tahoma"/>
          <w:kern w:val="0"/>
          <w:szCs w:val="21"/>
        </w:rPr>
        <w:t>公司地址：北京市朝阳区京顺东街6号院A2-2楼</w:t>
      </w:r>
    </w:p>
    <w:p>
      <w:pPr>
        <w:rPr>
          <w:rFonts w:ascii="宋体" w:hAnsi="宋体" w:cs="Tahoma"/>
          <w:kern w:val="0"/>
          <w:szCs w:val="21"/>
        </w:rPr>
      </w:pPr>
      <w:r>
        <w:rPr>
          <w:rFonts w:ascii="宋体" w:hAnsi="宋体" w:cs="Tahoma"/>
          <w:kern w:val="0"/>
          <w:szCs w:val="21"/>
        </w:rPr>
        <w:t>公司网址：</w:t>
      </w:r>
      <w:r>
        <w:rPr>
          <w:rFonts w:hint="eastAsia" w:ascii="宋体" w:hAnsi="宋体" w:cs="Tahoma"/>
          <w:kern w:val="0"/>
          <w:szCs w:val="21"/>
        </w:rPr>
        <w:t>http://bcegc.bcegc.com</w:t>
      </w:r>
    </w:p>
    <w:tbl>
      <w:tblPr>
        <w:tblStyle w:val="14"/>
        <w:tblW w:w="876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2"/>
        <w:gridCol w:w="43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Tahoma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  <w:szCs w:val="21"/>
              </w:rPr>
              <w:t>网申入口</w:t>
            </w:r>
          </w:p>
        </w:tc>
        <w:tc>
          <w:tcPr>
            <w:tcW w:w="43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ascii="宋体" w:hAnsi="宋体" w:cs="Tahoma"/>
                <w:b/>
                <w:kern w:val="0"/>
                <w:sz w:val="24"/>
                <w:szCs w:val="21"/>
              </w:rPr>
            </w:pPr>
            <w:r>
              <w:rPr>
                <w:rFonts w:hint="eastAsia" w:ascii="宋体" w:hAnsi="宋体" w:cs="Tahoma"/>
                <w:b/>
                <w:kern w:val="0"/>
                <w:sz w:val="24"/>
                <w:szCs w:val="21"/>
              </w:rPr>
              <w:t>公司微信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  <w:jc w:val="center"/>
        </w:trPr>
        <w:tc>
          <w:tcPr>
            <w:tcW w:w="43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仿宋" w:cs="Tahom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仿宋" w:cs="Tahoma"/>
                <w:kern w:val="0"/>
                <w:sz w:val="20"/>
                <w:szCs w:val="21"/>
                <w:lang w:val="en-US" w:eastAsia="zh-CN" w:bidi="ar-SA"/>
              </w:rPr>
              <w:pict>
                <v:shape id="图片 4" o:spid="_x0000_s1026" type="#_x0000_t75" style="height:192pt;width:192pt;rotation:0f;" o:ole="f" fillcolor="#FFFFFF" filled="f" o:preferrelative="t" stroked="f" coordorigin="0,0" coordsize="21600,21600">
                  <v:fill on="f" color2="#FFFFFF" focus="0%"/>
                  <v:imagedata gain="65536f" blacklevel="0f" gamma="0" o:title="6b335a8ce0064efb21cd548d88a7cce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4382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仿宋" w:cs="Tahoma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仿宋" w:cs="Tahoma"/>
                <w:kern w:val="0"/>
                <w:sz w:val="20"/>
                <w:szCs w:val="21"/>
                <w:lang w:val="en-US" w:eastAsia="zh-CN" w:bidi="ar-SA"/>
              </w:rPr>
              <w:pict>
                <v:shape id="图片 5" o:spid="_x0000_s1027" type="#_x0000_t75" style="height:208.3pt;width:208.3pt;rotation:0f;" o:ole="f" fillcolor="#FFFFFF" filled="f" o:preferrelative="t" stroked="f" coordorigin="0,0" coordsize="21600,21600">
                  <v:fill on="f" color2="#FFFFFF" focus="0%"/>
                  <v:imagedata gain="65536f" blacklevel="0f" gamma="0" o:title="cb75e1184d5ef30768064fcbdd19f0b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</w:tbl>
    <w:p>
      <w:pPr>
        <w:widowControl/>
        <w:spacing w:line="360" w:lineRule="auto"/>
        <w:ind w:firstLine="496" w:firstLineChars="177"/>
        <w:jc w:val="left"/>
        <w:rPr>
          <w:rFonts w:ascii="宋体" w:hAnsi="宋体" w:cs="Tahoma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496" w:firstLineChars="177"/>
        <w:jc w:val="left"/>
        <w:rPr>
          <w:rFonts w:ascii="宋体" w:hAnsi="宋体" w:cs="宋体"/>
          <w:kern w:val="0"/>
          <w:szCs w:val="21"/>
        </w:rPr>
      </w:pPr>
    </w:p>
    <w:sectPr>
      <w:pgSz w:w="11906" w:h="16838"/>
      <w:pgMar w:top="1440" w:right="1558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4326221">
    <w:nsid w:val="2CF61ACD"/>
    <w:multiLevelType w:val="multilevel"/>
    <w:tmpl w:val="2CF61ACD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37872770">
    <w:nsid w:val="55B43282"/>
    <w:multiLevelType w:val="multilevel"/>
    <w:tmpl w:val="55B43282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439833334">
    <w:nsid w:val="55D21CF6"/>
    <w:multiLevelType w:val="multilevel"/>
    <w:tmpl w:val="55D21CF6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76743910">
    <w:nsid w:val="226069E6"/>
    <w:multiLevelType w:val="multilevel"/>
    <w:tmpl w:val="226069E6"/>
    <w:lvl w:ilvl="0" w:tentative="1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437872770"/>
  </w:num>
  <w:num w:numId="2">
    <w:abstractNumId w:val="754326221"/>
  </w:num>
  <w:num w:numId="3">
    <w:abstractNumId w:val="1439833334"/>
  </w:num>
  <w:num w:numId="4">
    <w:abstractNumId w:val="5767439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50C67"/>
    <w:rsid w:val="00005633"/>
    <w:rsid w:val="00015285"/>
    <w:rsid w:val="00022008"/>
    <w:rsid w:val="00025C9F"/>
    <w:rsid w:val="00026AF9"/>
    <w:rsid w:val="00026C9C"/>
    <w:rsid w:val="00027EBF"/>
    <w:rsid w:val="00030222"/>
    <w:rsid w:val="00036D54"/>
    <w:rsid w:val="000434A6"/>
    <w:rsid w:val="00044907"/>
    <w:rsid w:val="000644F2"/>
    <w:rsid w:val="00064E6A"/>
    <w:rsid w:val="0009664A"/>
    <w:rsid w:val="000A55F6"/>
    <w:rsid w:val="000A6967"/>
    <w:rsid w:val="000B28AF"/>
    <w:rsid w:val="000B28F1"/>
    <w:rsid w:val="000C59A1"/>
    <w:rsid w:val="000D5561"/>
    <w:rsid w:val="000E4899"/>
    <w:rsid w:val="000F0545"/>
    <w:rsid w:val="000F6D04"/>
    <w:rsid w:val="00103DA0"/>
    <w:rsid w:val="001154A7"/>
    <w:rsid w:val="0012302E"/>
    <w:rsid w:val="00125DAD"/>
    <w:rsid w:val="00134ED8"/>
    <w:rsid w:val="001434FA"/>
    <w:rsid w:val="00145628"/>
    <w:rsid w:val="00145EA2"/>
    <w:rsid w:val="00150653"/>
    <w:rsid w:val="001671E8"/>
    <w:rsid w:val="001757B0"/>
    <w:rsid w:val="0018351A"/>
    <w:rsid w:val="00186E88"/>
    <w:rsid w:val="001877F8"/>
    <w:rsid w:val="00194F69"/>
    <w:rsid w:val="00195E01"/>
    <w:rsid w:val="00197526"/>
    <w:rsid w:val="001B3374"/>
    <w:rsid w:val="001B4819"/>
    <w:rsid w:val="001B6850"/>
    <w:rsid w:val="001C55E4"/>
    <w:rsid w:val="001C75F4"/>
    <w:rsid w:val="001D1078"/>
    <w:rsid w:val="001D121B"/>
    <w:rsid w:val="001D47CB"/>
    <w:rsid w:val="001D71A9"/>
    <w:rsid w:val="001D7DB9"/>
    <w:rsid w:val="001E495C"/>
    <w:rsid w:val="001E50AE"/>
    <w:rsid w:val="00200140"/>
    <w:rsid w:val="002054B1"/>
    <w:rsid w:val="00206ECE"/>
    <w:rsid w:val="002139DB"/>
    <w:rsid w:val="00226EED"/>
    <w:rsid w:val="00232009"/>
    <w:rsid w:val="00236325"/>
    <w:rsid w:val="0024117C"/>
    <w:rsid w:val="00242B15"/>
    <w:rsid w:val="00246774"/>
    <w:rsid w:val="002637E4"/>
    <w:rsid w:val="00264004"/>
    <w:rsid w:val="0027218F"/>
    <w:rsid w:val="00273486"/>
    <w:rsid w:val="00284CC2"/>
    <w:rsid w:val="00284CE6"/>
    <w:rsid w:val="0028594D"/>
    <w:rsid w:val="002879E3"/>
    <w:rsid w:val="002A11F2"/>
    <w:rsid w:val="002A3800"/>
    <w:rsid w:val="002B03F8"/>
    <w:rsid w:val="002C1DE2"/>
    <w:rsid w:val="002C62BB"/>
    <w:rsid w:val="002C7073"/>
    <w:rsid w:val="002C7547"/>
    <w:rsid w:val="002D116B"/>
    <w:rsid w:val="002E3CAC"/>
    <w:rsid w:val="0030434A"/>
    <w:rsid w:val="00312723"/>
    <w:rsid w:val="00325B05"/>
    <w:rsid w:val="00337171"/>
    <w:rsid w:val="0034308A"/>
    <w:rsid w:val="00354391"/>
    <w:rsid w:val="00354F19"/>
    <w:rsid w:val="00371898"/>
    <w:rsid w:val="003759F0"/>
    <w:rsid w:val="0037714B"/>
    <w:rsid w:val="003776B1"/>
    <w:rsid w:val="00383E6F"/>
    <w:rsid w:val="0038498A"/>
    <w:rsid w:val="00394732"/>
    <w:rsid w:val="0039668E"/>
    <w:rsid w:val="003A4657"/>
    <w:rsid w:val="003A4BBC"/>
    <w:rsid w:val="003B5293"/>
    <w:rsid w:val="003B5840"/>
    <w:rsid w:val="003B7940"/>
    <w:rsid w:val="003C02E8"/>
    <w:rsid w:val="003C7B39"/>
    <w:rsid w:val="003C7CCD"/>
    <w:rsid w:val="003D0975"/>
    <w:rsid w:val="0040221E"/>
    <w:rsid w:val="00403398"/>
    <w:rsid w:val="0040392B"/>
    <w:rsid w:val="00404A3A"/>
    <w:rsid w:val="004118CA"/>
    <w:rsid w:val="00411E32"/>
    <w:rsid w:val="00420AFC"/>
    <w:rsid w:val="00422A40"/>
    <w:rsid w:val="00440A27"/>
    <w:rsid w:val="004416E3"/>
    <w:rsid w:val="00441746"/>
    <w:rsid w:val="00445C8A"/>
    <w:rsid w:val="00463FD7"/>
    <w:rsid w:val="004646B5"/>
    <w:rsid w:val="00464B28"/>
    <w:rsid w:val="0046687B"/>
    <w:rsid w:val="00466ACA"/>
    <w:rsid w:val="00467DA8"/>
    <w:rsid w:val="0047003B"/>
    <w:rsid w:val="00470919"/>
    <w:rsid w:val="00473637"/>
    <w:rsid w:val="00481245"/>
    <w:rsid w:val="0048334B"/>
    <w:rsid w:val="00486D31"/>
    <w:rsid w:val="00495D0A"/>
    <w:rsid w:val="004A2D14"/>
    <w:rsid w:val="004B5005"/>
    <w:rsid w:val="004B6FFD"/>
    <w:rsid w:val="004B7862"/>
    <w:rsid w:val="004C1E55"/>
    <w:rsid w:val="004C1E9E"/>
    <w:rsid w:val="004D3282"/>
    <w:rsid w:val="004D4712"/>
    <w:rsid w:val="004D5423"/>
    <w:rsid w:val="004F2026"/>
    <w:rsid w:val="00500091"/>
    <w:rsid w:val="00505382"/>
    <w:rsid w:val="005116C2"/>
    <w:rsid w:val="00515D1B"/>
    <w:rsid w:val="00516C4A"/>
    <w:rsid w:val="005216DD"/>
    <w:rsid w:val="00527480"/>
    <w:rsid w:val="00530219"/>
    <w:rsid w:val="00531742"/>
    <w:rsid w:val="0053672F"/>
    <w:rsid w:val="00546424"/>
    <w:rsid w:val="0055214A"/>
    <w:rsid w:val="0057320C"/>
    <w:rsid w:val="0057352A"/>
    <w:rsid w:val="00587568"/>
    <w:rsid w:val="005879C4"/>
    <w:rsid w:val="005A39E6"/>
    <w:rsid w:val="005A7711"/>
    <w:rsid w:val="005B4D54"/>
    <w:rsid w:val="005B6906"/>
    <w:rsid w:val="005B6E0B"/>
    <w:rsid w:val="005C0B22"/>
    <w:rsid w:val="005C2679"/>
    <w:rsid w:val="005C2C43"/>
    <w:rsid w:val="005E29FF"/>
    <w:rsid w:val="005E5F51"/>
    <w:rsid w:val="005F3DC7"/>
    <w:rsid w:val="005F51CF"/>
    <w:rsid w:val="0060781D"/>
    <w:rsid w:val="006200C4"/>
    <w:rsid w:val="0063086F"/>
    <w:rsid w:val="00630FE9"/>
    <w:rsid w:val="006323A5"/>
    <w:rsid w:val="00641221"/>
    <w:rsid w:val="0064326A"/>
    <w:rsid w:val="00644F89"/>
    <w:rsid w:val="0065248D"/>
    <w:rsid w:val="006549DA"/>
    <w:rsid w:val="00657184"/>
    <w:rsid w:val="00663F69"/>
    <w:rsid w:val="00672D8B"/>
    <w:rsid w:val="00674318"/>
    <w:rsid w:val="006819AB"/>
    <w:rsid w:val="006836EE"/>
    <w:rsid w:val="00686C5C"/>
    <w:rsid w:val="006876ED"/>
    <w:rsid w:val="006A0ECE"/>
    <w:rsid w:val="006A12AB"/>
    <w:rsid w:val="006A1AF3"/>
    <w:rsid w:val="006A4384"/>
    <w:rsid w:val="006B0CAC"/>
    <w:rsid w:val="006B0D60"/>
    <w:rsid w:val="006C14CD"/>
    <w:rsid w:val="006C331D"/>
    <w:rsid w:val="006D155F"/>
    <w:rsid w:val="006D1817"/>
    <w:rsid w:val="006D65D4"/>
    <w:rsid w:val="006E1B77"/>
    <w:rsid w:val="00704F8E"/>
    <w:rsid w:val="00712DA7"/>
    <w:rsid w:val="007217A9"/>
    <w:rsid w:val="00726EE0"/>
    <w:rsid w:val="007270C7"/>
    <w:rsid w:val="0073269B"/>
    <w:rsid w:val="00736B84"/>
    <w:rsid w:val="00744417"/>
    <w:rsid w:val="00757F43"/>
    <w:rsid w:val="00770EAC"/>
    <w:rsid w:val="0077156C"/>
    <w:rsid w:val="00774439"/>
    <w:rsid w:val="007750CF"/>
    <w:rsid w:val="00794C57"/>
    <w:rsid w:val="007A3F9F"/>
    <w:rsid w:val="007C2D41"/>
    <w:rsid w:val="007F556A"/>
    <w:rsid w:val="00800126"/>
    <w:rsid w:val="00800AAF"/>
    <w:rsid w:val="00802966"/>
    <w:rsid w:val="00814491"/>
    <w:rsid w:val="00815732"/>
    <w:rsid w:val="0082049D"/>
    <w:rsid w:val="00821775"/>
    <w:rsid w:val="008227B9"/>
    <w:rsid w:val="00825397"/>
    <w:rsid w:val="0084686B"/>
    <w:rsid w:val="00851A93"/>
    <w:rsid w:val="00865E29"/>
    <w:rsid w:val="008719EF"/>
    <w:rsid w:val="0087409F"/>
    <w:rsid w:val="00881F70"/>
    <w:rsid w:val="008831AD"/>
    <w:rsid w:val="008857B6"/>
    <w:rsid w:val="008866F4"/>
    <w:rsid w:val="0089068D"/>
    <w:rsid w:val="008A53BC"/>
    <w:rsid w:val="008B029F"/>
    <w:rsid w:val="008B21A6"/>
    <w:rsid w:val="008B5803"/>
    <w:rsid w:val="008C0419"/>
    <w:rsid w:val="008C2323"/>
    <w:rsid w:val="008C5A71"/>
    <w:rsid w:val="008C6C6A"/>
    <w:rsid w:val="008E38D4"/>
    <w:rsid w:val="008F4376"/>
    <w:rsid w:val="00904D01"/>
    <w:rsid w:val="009056D9"/>
    <w:rsid w:val="00910041"/>
    <w:rsid w:val="0091091B"/>
    <w:rsid w:val="00920241"/>
    <w:rsid w:val="009213D7"/>
    <w:rsid w:val="00922166"/>
    <w:rsid w:val="00937551"/>
    <w:rsid w:val="00942702"/>
    <w:rsid w:val="00960A33"/>
    <w:rsid w:val="00982E4A"/>
    <w:rsid w:val="0099187A"/>
    <w:rsid w:val="0099712C"/>
    <w:rsid w:val="009A0CD7"/>
    <w:rsid w:val="009A1FFD"/>
    <w:rsid w:val="009A419D"/>
    <w:rsid w:val="009A56E3"/>
    <w:rsid w:val="009C0077"/>
    <w:rsid w:val="009C3898"/>
    <w:rsid w:val="009D36EE"/>
    <w:rsid w:val="009D5AEC"/>
    <w:rsid w:val="009D5E62"/>
    <w:rsid w:val="009E5452"/>
    <w:rsid w:val="009F5292"/>
    <w:rsid w:val="00A0270B"/>
    <w:rsid w:val="00A0281D"/>
    <w:rsid w:val="00A111AC"/>
    <w:rsid w:val="00A14EC0"/>
    <w:rsid w:val="00A16D97"/>
    <w:rsid w:val="00A27B15"/>
    <w:rsid w:val="00A31BBD"/>
    <w:rsid w:val="00A33948"/>
    <w:rsid w:val="00A368C2"/>
    <w:rsid w:val="00A4319A"/>
    <w:rsid w:val="00A6435B"/>
    <w:rsid w:val="00AA316F"/>
    <w:rsid w:val="00AA709C"/>
    <w:rsid w:val="00AB0705"/>
    <w:rsid w:val="00AB076F"/>
    <w:rsid w:val="00AB3F50"/>
    <w:rsid w:val="00AB717A"/>
    <w:rsid w:val="00AC164B"/>
    <w:rsid w:val="00AC3C27"/>
    <w:rsid w:val="00AC723D"/>
    <w:rsid w:val="00AD034E"/>
    <w:rsid w:val="00AD7169"/>
    <w:rsid w:val="00AF2C8C"/>
    <w:rsid w:val="00B0051D"/>
    <w:rsid w:val="00B06405"/>
    <w:rsid w:val="00B23884"/>
    <w:rsid w:val="00B258BD"/>
    <w:rsid w:val="00B30E1C"/>
    <w:rsid w:val="00B33AEC"/>
    <w:rsid w:val="00B34244"/>
    <w:rsid w:val="00B3577D"/>
    <w:rsid w:val="00B3782D"/>
    <w:rsid w:val="00B4485A"/>
    <w:rsid w:val="00B55DC9"/>
    <w:rsid w:val="00B604CE"/>
    <w:rsid w:val="00B704F3"/>
    <w:rsid w:val="00B806F8"/>
    <w:rsid w:val="00B81BF4"/>
    <w:rsid w:val="00B843E2"/>
    <w:rsid w:val="00BA699D"/>
    <w:rsid w:val="00BB1FEC"/>
    <w:rsid w:val="00BB2C37"/>
    <w:rsid w:val="00BB41D1"/>
    <w:rsid w:val="00BD68F6"/>
    <w:rsid w:val="00BF6DD8"/>
    <w:rsid w:val="00C02471"/>
    <w:rsid w:val="00C055D8"/>
    <w:rsid w:val="00C15415"/>
    <w:rsid w:val="00C26914"/>
    <w:rsid w:val="00C71861"/>
    <w:rsid w:val="00C7600D"/>
    <w:rsid w:val="00C76E41"/>
    <w:rsid w:val="00C854BC"/>
    <w:rsid w:val="00C8690F"/>
    <w:rsid w:val="00C90DEE"/>
    <w:rsid w:val="00C92DCE"/>
    <w:rsid w:val="00C93A5E"/>
    <w:rsid w:val="00C97CD1"/>
    <w:rsid w:val="00CB7B9E"/>
    <w:rsid w:val="00CC1D94"/>
    <w:rsid w:val="00CC60ED"/>
    <w:rsid w:val="00CD2380"/>
    <w:rsid w:val="00CE0262"/>
    <w:rsid w:val="00CE1B12"/>
    <w:rsid w:val="00CE5364"/>
    <w:rsid w:val="00CE60CA"/>
    <w:rsid w:val="00D119E2"/>
    <w:rsid w:val="00D22991"/>
    <w:rsid w:val="00D251F7"/>
    <w:rsid w:val="00D37F0E"/>
    <w:rsid w:val="00D50C67"/>
    <w:rsid w:val="00D51376"/>
    <w:rsid w:val="00D54225"/>
    <w:rsid w:val="00D7509F"/>
    <w:rsid w:val="00D8650D"/>
    <w:rsid w:val="00DA4848"/>
    <w:rsid w:val="00DA65B9"/>
    <w:rsid w:val="00DB1C40"/>
    <w:rsid w:val="00DB3B6B"/>
    <w:rsid w:val="00DB5CA6"/>
    <w:rsid w:val="00DC3E89"/>
    <w:rsid w:val="00DD6283"/>
    <w:rsid w:val="00DE6D3A"/>
    <w:rsid w:val="00DF5802"/>
    <w:rsid w:val="00E06FCF"/>
    <w:rsid w:val="00E1053E"/>
    <w:rsid w:val="00E30503"/>
    <w:rsid w:val="00E407FE"/>
    <w:rsid w:val="00E42ED9"/>
    <w:rsid w:val="00E5126E"/>
    <w:rsid w:val="00E53412"/>
    <w:rsid w:val="00E56290"/>
    <w:rsid w:val="00E60F6C"/>
    <w:rsid w:val="00E641DD"/>
    <w:rsid w:val="00E7019B"/>
    <w:rsid w:val="00E75FFD"/>
    <w:rsid w:val="00EA502C"/>
    <w:rsid w:val="00EB5410"/>
    <w:rsid w:val="00ED5DCD"/>
    <w:rsid w:val="00EE0CC2"/>
    <w:rsid w:val="00EE3BE0"/>
    <w:rsid w:val="00EE731F"/>
    <w:rsid w:val="00EF4E39"/>
    <w:rsid w:val="00F028BC"/>
    <w:rsid w:val="00F14EA1"/>
    <w:rsid w:val="00F1644C"/>
    <w:rsid w:val="00F17EB1"/>
    <w:rsid w:val="00F2005E"/>
    <w:rsid w:val="00F27D96"/>
    <w:rsid w:val="00F40933"/>
    <w:rsid w:val="00F42363"/>
    <w:rsid w:val="00F4313B"/>
    <w:rsid w:val="00F452A1"/>
    <w:rsid w:val="00F501BD"/>
    <w:rsid w:val="00F522D1"/>
    <w:rsid w:val="00F5294C"/>
    <w:rsid w:val="00F56F9C"/>
    <w:rsid w:val="00F61372"/>
    <w:rsid w:val="00F6186D"/>
    <w:rsid w:val="00F6440E"/>
    <w:rsid w:val="00F87AB8"/>
    <w:rsid w:val="00F90A74"/>
    <w:rsid w:val="00F9180F"/>
    <w:rsid w:val="00F95758"/>
    <w:rsid w:val="00F96437"/>
    <w:rsid w:val="00FB3199"/>
    <w:rsid w:val="00FB6AD7"/>
    <w:rsid w:val="00FC22D6"/>
    <w:rsid w:val="00FC70E8"/>
    <w:rsid w:val="00FD2290"/>
    <w:rsid w:val="00FE310B"/>
    <w:rsid w:val="03206AD9"/>
    <w:rsid w:val="037A5632"/>
    <w:rsid w:val="042807AF"/>
    <w:rsid w:val="0A943A53"/>
    <w:rsid w:val="277964C5"/>
    <w:rsid w:val="27D03773"/>
    <w:rsid w:val="2C4A76D4"/>
    <w:rsid w:val="2D0F22EE"/>
    <w:rsid w:val="337D7BE4"/>
    <w:rsid w:val="412133EB"/>
    <w:rsid w:val="4BC00DD4"/>
    <w:rsid w:val="51563273"/>
    <w:rsid w:val="68085783"/>
    <w:rsid w:val="69A615B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4">
    <w:name w:val="Normal Table"/>
    <w:unhideWhenUsed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20"/>
    <w:qFormat/>
    <w:uiPriority w:val="11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9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styleId="11">
    <w:name w:val="Strong"/>
    <w:qFormat/>
    <w:uiPriority w:val="0"/>
    <w:rPr>
      <w:b/>
    </w:rPr>
  </w:style>
  <w:style w:type="character" w:styleId="12">
    <w:name w:val="page number"/>
    <w:basedOn w:val="10"/>
    <w:unhideWhenUsed/>
    <w:uiPriority w:val="0"/>
    <w:rPr/>
  </w:style>
  <w:style w:type="character" w:styleId="13">
    <w:name w:val="Hyperlink"/>
    <w:unhideWhenUsed/>
    <w:uiPriority w:val="99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cs="Times New Roman"/>
      <w:szCs w:val="24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9">
    <w:name w:val="标题 Char"/>
    <w:link w:val="9"/>
    <w:uiPriority w:val="10"/>
    <w:rPr>
      <w:rFonts w:ascii="Calibri Light" w:hAnsi="Calibri Light" w:eastAsia="宋体" w:cs="黑体"/>
      <w:b/>
      <w:bCs/>
      <w:sz w:val="32"/>
      <w:szCs w:val="32"/>
      <w:lang w:val="en-US" w:eastAsia="zh-CN" w:bidi="ar-SA"/>
    </w:rPr>
  </w:style>
  <w:style w:type="character" w:customStyle="1" w:styleId="20">
    <w:name w:val="副标题 Char"/>
    <w:link w:val="7"/>
    <w:uiPriority w:val="11"/>
    <w:rPr>
      <w:rFonts w:ascii="Calibri Light" w:hAnsi="Calibri Light" w:eastAsia="宋体" w:cs="黑体"/>
      <w:b/>
      <w:bCs/>
      <w:kern w:val="28"/>
      <w:sz w:val="32"/>
      <w:szCs w:val="32"/>
      <w:lang w:val="en-US" w:eastAsia="zh-CN" w:bidi="ar-SA"/>
    </w:rPr>
  </w:style>
  <w:style w:type="character" w:customStyle="1" w:styleId="21">
    <w:name w:val="批注框文本 Char"/>
    <w:link w:val="4"/>
    <w:semiHidden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2">
    <w:name w:val="页眉 Char"/>
    <w:link w:val="6"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3">
    <w:name w:val="页脚 Char"/>
    <w:link w:val="5"/>
    <w:qFormat/>
    <w:uiPriority w:val="99"/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customStyle="1" w:styleId="24">
    <w:name w:val="标题 1 Char"/>
    <w:link w:val="2"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2 Char"/>
    <w:link w:val="3"/>
    <w:uiPriority w:val="9"/>
    <w:rPr>
      <w:rFonts w:ascii="Cambria" w:hAnsi="Cambria" w:eastAsia="仿宋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351</Words>
  <Characters>2001</Characters>
  <Lines>16</Lines>
  <Paragraphs>4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2018-09-28T03:07:00Z</dcterms:created>
  <dc:creator>HP-002</dc:creator>
  <cp:lastModifiedBy>王子元</cp:lastModifiedBy>
  <cp:lastPrinted>2020-12-04T01:18:00Z</cp:lastPrinted>
  <dcterms:modified xsi:type="dcterms:W3CDTF">2021-09-08T05:30:31Z</dcterms:modified>
  <dc:title>北京建工土木工程有限公司2020校园招聘简章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