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DD50B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2"/>
          <w:lang w:eastAsia="zh-CN"/>
        </w:rPr>
      </w:pPr>
      <w:r>
        <w:rPr>
          <w:rFonts w:hint="eastAsia" w:ascii="宋体" w:hAnsi="宋体" w:eastAsia="宋体" w:cs="宋体"/>
          <w:sz w:val="28"/>
          <w:szCs w:val="22"/>
          <w:lang w:eastAsia="zh-CN"/>
        </w:rPr>
        <w:t>2024级北京交通大学土木建筑工程学院</w:t>
      </w:r>
    </w:p>
    <w:p w14:paraId="110B4D06">
      <w:pPr>
        <w:pStyle w:val="3"/>
        <w:bidi w:val="0"/>
        <w:jc w:val="center"/>
        <w:rPr>
          <w:rFonts w:hint="eastAsia" w:ascii="宋体" w:hAnsi="宋体" w:eastAsia="宋体" w:cs="宋体"/>
          <w:sz w:val="28"/>
          <w:szCs w:val="22"/>
          <w:lang w:eastAsia="zh-CN"/>
        </w:rPr>
      </w:pPr>
      <w:r>
        <w:rPr>
          <w:rFonts w:hint="eastAsia" w:ascii="宋体" w:hAnsi="宋体" w:eastAsia="宋体" w:cs="宋体"/>
          <w:sz w:val="28"/>
          <w:szCs w:val="22"/>
          <w:lang w:eastAsia="zh-CN"/>
        </w:rPr>
        <w:t>“土木工程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-金融学</w:t>
      </w:r>
      <w:r>
        <w:rPr>
          <w:rFonts w:hint="eastAsia" w:ascii="宋体" w:hAnsi="宋体" w:eastAsia="宋体" w:cs="宋体"/>
          <w:sz w:val="28"/>
          <w:szCs w:val="22"/>
          <w:lang w:eastAsia="zh-CN"/>
        </w:rPr>
        <w:t>”双学位项目选拔方案</w:t>
      </w:r>
    </w:p>
    <w:p w14:paraId="57AF7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为进一步规范学院“土木工程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-金融学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”双学位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项目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选拔流程，完善双学位项目管理制度，特制订土木建筑工程学院2024级“土木工程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-金融学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”双学位项目选拔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方案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如下：</w:t>
      </w:r>
    </w:p>
    <w:p w14:paraId="14902B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项目简介</w:t>
      </w:r>
    </w:p>
    <w:p w14:paraId="548A03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土木工程专业为首批国家级一流本科专业建设点，是国家级特色专业。金融学依托“应用经济学”一级学科优势平台，为2020年国家级一流专业建设点。土木工程与金融学学科的交叉突破了单一学科对人才培养的局限，通过加强学科间的融合，实现跨学科、宽口径专业培养，为学生打造适合职业发展和国家多方位需求的复合型人才培养平台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学生完成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“土木工程-金融学”双学位项目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培养方案后，获得“工学+经济学”双学士学位。</w:t>
      </w:r>
    </w:p>
    <w:p w14:paraId="1A2E4E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培养特色</w:t>
      </w:r>
    </w:p>
    <w:p w14:paraId="6882A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面向国家重大战略需求，以及投、建、营一体化的新型建筑业发展趋势，强化投融资、规划设计、施工、运营维护等全产业链的深度融合。“土木工程+金融学” 新工科复合人才能够更好地服务于“一带一路”等国家重大决策，为我国铁路、城市轨道交通、建筑等基础设施领域发展提供强有力的专业型、复合型、国际化人才。</w:t>
      </w:r>
    </w:p>
    <w:p w14:paraId="5616D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核心课程为：工程力学、结构力学、建筑信息模型基础、土力学与基础工程、土木工程材料、会计学原理、金融学、投资学、投资项目风险管理、城市地下工程及项目评价、投资项目风险管理等。</w:t>
      </w:r>
    </w:p>
    <w:p w14:paraId="1CDEA8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选拔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方式</w:t>
      </w:r>
    </w:p>
    <w:p w14:paraId="1EAB2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面向202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级土木类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智慧建造与智能工程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新生选拔，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大一新生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入学报到后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领取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申请表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并提交学院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，学院组织选拔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双学位项目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共计选拔30人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学生自愿报名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。</w:t>
      </w:r>
    </w:p>
    <w:p w14:paraId="46B660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院根据报名学生的数学高考成绩由高到低排序；如果数学成绩相同，按照单科物理、语文、外语的顺序进行成绩排序。依据排序按照1:1.5比例确定入围面试学生名单。学院组织综合面试，面试成绩公示后，择优录取。</w:t>
      </w:r>
    </w:p>
    <w:p w14:paraId="7C4641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其他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机制</w:t>
      </w:r>
    </w:p>
    <w:p w14:paraId="2B311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双学士学位项目在读学生不允许申请辅修学士学位。</w:t>
      </w:r>
    </w:p>
    <w:p w14:paraId="76A5C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双学士学位项目在读学生不允许申请转专业，同时双学士学位项目也不接收学生转入。 </w:t>
      </w:r>
    </w:p>
    <w:p w14:paraId="43137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双学士学位项目实行动态退出机制。学生可在前三学年每学期第一周申请退出双学士学位项目，并办理退出手续。学生申请退出双学位学位项目后，如未进行大类专业分流的，将退出至土木类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智慧建造与智能工程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专业学习，并按照相关规定参加大类专业分流；如已完成专业分流的，将退出至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土木工程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专业学习。</w:t>
      </w:r>
    </w:p>
    <w:p w14:paraId="1C45D8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咨询电话</w:t>
      </w:r>
    </w:p>
    <w:p w14:paraId="7D16C6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土建学院教学科杨老师，电话为010-51688227。</w:t>
      </w:r>
    </w:p>
    <w:p w14:paraId="72D2CB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说明</w:t>
      </w:r>
    </w:p>
    <w:p w14:paraId="79EF32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本选拔方案自2024级开始施行，未明确条款参照《北京交通大学本科生双学士学位项目实施管理办法》执行，如上级单位制定相关管理办法，依照上级单位要求执行，本方案相关条款自动作废。其他未尽事宜最终解释权，归土木建筑工程学院所有。</w:t>
      </w:r>
      <w:bookmarkStart w:id="0" w:name="_GoBack"/>
      <w:bookmarkEnd w:id="0"/>
    </w:p>
    <w:p w14:paraId="62CEF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jc w:val="righ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土木建筑工程学院</w:t>
      </w:r>
    </w:p>
    <w:p w14:paraId="1B1D0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2024年7月9日</w:t>
      </w:r>
    </w:p>
    <w:p w14:paraId="713AF9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19C9"/>
    <w:multiLevelType w:val="singleLevel"/>
    <w:tmpl w:val="50D719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ZDRiZjQ0YzZhNDZjNzdiNmJlZGQ1YmI0MGQwMjkifQ=="/>
  </w:docVars>
  <w:rsids>
    <w:rsidRoot w:val="6C805878"/>
    <w:rsid w:val="03D575A8"/>
    <w:rsid w:val="04207E21"/>
    <w:rsid w:val="06815E89"/>
    <w:rsid w:val="092E2FE0"/>
    <w:rsid w:val="09A47B85"/>
    <w:rsid w:val="0B5D5148"/>
    <w:rsid w:val="0CE00F40"/>
    <w:rsid w:val="0DFA5B87"/>
    <w:rsid w:val="1DEA4A6B"/>
    <w:rsid w:val="1E0A7720"/>
    <w:rsid w:val="1E3C106F"/>
    <w:rsid w:val="1F281752"/>
    <w:rsid w:val="2136082C"/>
    <w:rsid w:val="24144EFD"/>
    <w:rsid w:val="26A15A3B"/>
    <w:rsid w:val="296A19BB"/>
    <w:rsid w:val="2EA859FF"/>
    <w:rsid w:val="48A16570"/>
    <w:rsid w:val="4DA71144"/>
    <w:rsid w:val="543F46B8"/>
    <w:rsid w:val="579F1245"/>
    <w:rsid w:val="591E51CC"/>
    <w:rsid w:val="5D78456B"/>
    <w:rsid w:val="663C1A0D"/>
    <w:rsid w:val="668F210A"/>
    <w:rsid w:val="68456787"/>
    <w:rsid w:val="6BF3491C"/>
    <w:rsid w:val="6C805878"/>
    <w:rsid w:val="6C8963CB"/>
    <w:rsid w:val="735C25A2"/>
    <w:rsid w:val="74D51608"/>
    <w:rsid w:val="75003CE4"/>
    <w:rsid w:val="7C4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1056</Words>
  <Characters>1093</Characters>
  <Lines>0</Lines>
  <Paragraphs>0</Paragraphs>
  <TotalTime>0</TotalTime>
  <ScaleCrop>false</ScaleCrop>
  <LinksUpToDate>false</LinksUpToDate>
  <CharactersWithSpaces>1099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2023-08-31T08:10:00Z</dcterms:created>
  <dc:creator>李易宸</dc:creator>
  <cp:lastModifiedBy>杨景超</cp:lastModifiedBy>
  <dcterms:modified xsi:type="dcterms:W3CDTF">2024-08-29T01:43:15Z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6DC98091AD324EFAB53A780C6536A270_11</vt:lpwstr>
  </property>
</Properties>
</file>