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404" w:rsidRDefault="00DD7E66">
      <w:pPr>
        <w:spacing w:afterLines="100" w:after="312"/>
        <w:jc w:val="center"/>
        <w:rPr>
          <w:rFonts w:ascii="华文中宋" w:eastAsia="华文中宋" w:hAnsi="华文中宋"/>
          <w:sz w:val="36"/>
          <w:szCs w:val="36"/>
        </w:rPr>
      </w:pPr>
      <w:r>
        <w:rPr>
          <w:rFonts w:ascii="华文中宋" w:eastAsia="华文中宋" w:hAnsi="华文中宋" w:hint="eastAsia"/>
          <w:sz w:val="36"/>
          <w:szCs w:val="36"/>
        </w:rPr>
        <w:t>金融科技</w:t>
      </w:r>
      <w:r w:rsidR="00383D0B">
        <w:rPr>
          <w:rFonts w:ascii="华文中宋" w:eastAsia="华文中宋" w:hAnsi="华文中宋" w:hint="eastAsia"/>
          <w:sz w:val="36"/>
          <w:szCs w:val="36"/>
        </w:rPr>
        <w:t>微专业</w:t>
      </w:r>
      <w:r w:rsidR="00C630F9">
        <w:rPr>
          <w:rFonts w:ascii="华文中宋" w:eastAsia="华文中宋" w:hAnsi="华文中宋" w:hint="eastAsia"/>
          <w:sz w:val="36"/>
          <w:szCs w:val="36"/>
        </w:rPr>
        <w:t>招生简章</w:t>
      </w:r>
    </w:p>
    <w:p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一、专业介绍</w:t>
      </w:r>
    </w:p>
    <w:p w:rsidR="00383D0B" w:rsidRPr="00DD7E66" w:rsidRDefault="00DD7E66" w:rsidP="00DD7E66">
      <w:pPr>
        <w:pStyle w:val="a9"/>
        <w:spacing w:line="300" w:lineRule="auto"/>
        <w:ind w:firstLineChars="200" w:firstLine="480"/>
        <w:rPr>
          <w:rFonts w:asciiTheme="minorEastAsia" w:eastAsiaTheme="minorEastAsia" w:hAnsiTheme="minorEastAsia"/>
          <w:szCs w:val="24"/>
        </w:rPr>
      </w:pPr>
      <w:r w:rsidRPr="00DD7E66">
        <w:rPr>
          <w:rFonts w:asciiTheme="minorEastAsia" w:eastAsiaTheme="minorEastAsia" w:hAnsiTheme="minorEastAsia" w:hint="eastAsia"/>
          <w:szCs w:val="24"/>
        </w:rPr>
        <w:t>以金融学为基础，以现代信息技术为支撑，以场景应用为牵引，培养掌握金融基本原理、熟悉数据分析工具、具备金融科技创新能力的交叉复合型人才。该专业强调“金融逻辑+技术工具+应用导向”的融合特征，面向未来智能金融、数字金融等典型场景，突出交叉性、应用性与时代性。</w:t>
      </w:r>
    </w:p>
    <w:p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二、招生名额</w:t>
      </w:r>
    </w:p>
    <w:p w:rsidR="00D47404" w:rsidRDefault="00C630F9">
      <w:pPr>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不少于</w:t>
      </w:r>
      <w:r w:rsidR="00A26501">
        <w:rPr>
          <w:rFonts w:asciiTheme="minorEastAsia" w:eastAsiaTheme="minorEastAsia" w:hAnsiTheme="minorEastAsia"/>
          <w:kern w:val="0"/>
          <w:sz w:val="24"/>
          <w:szCs w:val="24"/>
        </w:rPr>
        <w:t>15</w:t>
      </w:r>
      <w:r w:rsidR="00383D0B">
        <w:rPr>
          <w:rFonts w:asciiTheme="minorEastAsia" w:eastAsiaTheme="minorEastAsia" w:hAnsiTheme="minorEastAsia" w:hint="eastAsia"/>
          <w:kern w:val="0"/>
          <w:sz w:val="24"/>
          <w:szCs w:val="24"/>
        </w:rPr>
        <w:t>人</w:t>
      </w:r>
      <w:r>
        <w:rPr>
          <w:rFonts w:asciiTheme="minorEastAsia" w:eastAsiaTheme="minorEastAsia" w:hAnsiTheme="minorEastAsia" w:hint="eastAsia"/>
          <w:kern w:val="0"/>
          <w:sz w:val="24"/>
          <w:szCs w:val="24"/>
        </w:rPr>
        <w:t>。</w:t>
      </w:r>
    </w:p>
    <w:p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三、招收条件</w:t>
      </w:r>
    </w:p>
    <w:p w:rsidR="00A26501" w:rsidRPr="00A26501" w:rsidRDefault="00A26501" w:rsidP="00A26501">
      <w:pPr>
        <w:pStyle w:val="a9"/>
        <w:spacing w:line="300" w:lineRule="auto"/>
        <w:ind w:firstLineChars="200" w:firstLine="480"/>
        <w:rPr>
          <w:rFonts w:asciiTheme="minorEastAsia" w:eastAsiaTheme="minorEastAsia" w:hAnsiTheme="minorEastAsia"/>
          <w:szCs w:val="24"/>
        </w:rPr>
      </w:pPr>
      <w:r w:rsidRPr="00A26501">
        <w:rPr>
          <w:rFonts w:asciiTheme="minorEastAsia" w:eastAsiaTheme="minorEastAsia" w:hAnsiTheme="minorEastAsia" w:hint="eastAsia"/>
          <w:szCs w:val="24"/>
        </w:rPr>
        <w:t>先修课程：修微积分、线性代数、经济学原理（金融学课前需获得慕课结课证明）、会计学原理（公司金融课前需获得慕课结课证明</w:t>
      </w:r>
      <w:r>
        <w:rPr>
          <w:rFonts w:asciiTheme="minorEastAsia" w:eastAsiaTheme="minorEastAsia" w:hAnsiTheme="minorEastAsia"/>
          <w:szCs w:val="24"/>
        </w:rPr>
        <w:t>）</w:t>
      </w:r>
      <w:r>
        <w:rPr>
          <w:rFonts w:asciiTheme="minorEastAsia" w:eastAsiaTheme="minorEastAsia" w:hAnsiTheme="minorEastAsia" w:hint="eastAsia"/>
          <w:szCs w:val="24"/>
        </w:rPr>
        <w:t>。</w:t>
      </w:r>
    </w:p>
    <w:p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四、培养方案</w:t>
      </w:r>
    </w:p>
    <w:p w:rsidR="00DD7E66" w:rsidRPr="00DD7E66" w:rsidRDefault="00DD7E66" w:rsidP="00DD7E66">
      <w:pPr>
        <w:pStyle w:val="a9"/>
        <w:spacing w:line="300" w:lineRule="auto"/>
        <w:jc w:val="center"/>
        <w:rPr>
          <w:rFonts w:ascii="华文中宋" w:eastAsia="华文中宋" w:hAnsi="华文中宋"/>
          <w:sz w:val="32"/>
          <w:szCs w:val="32"/>
        </w:rPr>
      </w:pPr>
      <w:r w:rsidRPr="009B1B43">
        <w:rPr>
          <w:rFonts w:ascii="华文中宋" w:eastAsia="华文中宋" w:hAnsi="华文中宋" w:hint="eastAsia"/>
          <w:color w:val="000000" w:themeColor="text1"/>
          <w:sz w:val="32"/>
          <w:szCs w:val="32"/>
        </w:rPr>
        <w:t>金融</w:t>
      </w:r>
      <w:r w:rsidRPr="009B1B43">
        <w:rPr>
          <w:rFonts w:ascii="华文中宋" w:eastAsia="华文中宋" w:hAnsi="华文中宋"/>
          <w:color w:val="000000" w:themeColor="text1"/>
          <w:sz w:val="32"/>
          <w:szCs w:val="32"/>
        </w:rPr>
        <w:t>科技</w:t>
      </w:r>
      <w:r w:rsidRPr="009B1B43">
        <w:rPr>
          <w:rFonts w:ascii="华文中宋" w:eastAsia="华文中宋" w:hAnsi="华文中宋" w:hint="eastAsia"/>
          <w:color w:val="000000" w:themeColor="text1"/>
          <w:sz w:val="32"/>
          <w:szCs w:val="32"/>
        </w:rPr>
        <w:t xml:space="preserve"> </w:t>
      </w:r>
      <w:r>
        <w:rPr>
          <w:rFonts w:ascii="华文中宋" w:eastAsia="华文中宋" w:hAnsi="华文中宋" w:hint="eastAsia"/>
          <w:sz w:val="32"/>
          <w:szCs w:val="32"/>
        </w:rPr>
        <w:t>“微</w:t>
      </w:r>
      <w:r w:rsidRPr="000C4654">
        <w:rPr>
          <w:rFonts w:ascii="华文中宋" w:eastAsia="华文中宋" w:hAnsi="华文中宋" w:hint="eastAsia"/>
          <w:sz w:val="32"/>
          <w:szCs w:val="32"/>
        </w:rPr>
        <w:t>专业</w:t>
      </w:r>
      <w:r>
        <w:rPr>
          <w:rFonts w:ascii="华文中宋" w:eastAsia="华文中宋" w:hAnsi="华文中宋" w:hint="eastAsia"/>
          <w:sz w:val="32"/>
          <w:szCs w:val="32"/>
        </w:rPr>
        <w:t>”</w:t>
      </w:r>
      <w:r w:rsidRPr="000C4654">
        <w:rPr>
          <w:rFonts w:ascii="华文中宋" w:eastAsia="华文中宋" w:hAnsi="华文中宋" w:hint="eastAsia"/>
          <w:sz w:val="32"/>
          <w:szCs w:val="32"/>
        </w:rPr>
        <w:t>培养方案</w:t>
      </w:r>
    </w:p>
    <w:p w:rsidR="00DD7E66" w:rsidRPr="000C4654" w:rsidRDefault="00DD7E66" w:rsidP="00DD7E66">
      <w:pPr>
        <w:pStyle w:val="a9"/>
        <w:spacing w:line="300" w:lineRule="auto"/>
        <w:outlineLvl w:val="0"/>
        <w:rPr>
          <w:rFonts w:ascii="黑体" w:eastAsia="黑体"/>
        </w:rPr>
      </w:pPr>
      <w:r w:rsidRPr="000C4654">
        <w:rPr>
          <w:rFonts w:ascii="黑体" w:eastAsia="黑体" w:hint="eastAsia"/>
        </w:rPr>
        <w:t>一、学制及总</w:t>
      </w:r>
      <w:r w:rsidRPr="000C4654">
        <w:rPr>
          <w:rFonts w:ascii="黑体" w:eastAsia="黑体"/>
        </w:rPr>
        <w:t>学分要求</w:t>
      </w:r>
    </w:p>
    <w:p w:rsidR="00DD7E66" w:rsidRPr="000C4654" w:rsidRDefault="00DD7E66" w:rsidP="00DD7E66">
      <w:pPr>
        <w:pStyle w:val="a9"/>
        <w:spacing w:line="300" w:lineRule="auto"/>
        <w:ind w:firstLineChars="267" w:firstLine="641"/>
        <w:rPr>
          <w:rFonts w:ascii="宋体" w:hAnsi="宋体"/>
          <w:i/>
          <w:szCs w:val="21"/>
        </w:rPr>
      </w:pPr>
      <w:r w:rsidRPr="000C4654">
        <w:rPr>
          <w:rFonts w:ascii="宋体" w:hAnsi="宋体" w:hint="eastAsia"/>
          <w:szCs w:val="21"/>
        </w:rPr>
        <w:t>1</w:t>
      </w:r>
      <w:r w:rsidRPr="000C4654">
        <w:rPr>
          <w:rFonts w:ascii="宋体" w:hAnsi="宋体"/>
          <w:szCs w:val="21"/>
        </w:rPr>
        <w:t>.</w:t>
      </w:r>
      <w:r w:rsidRPr="000C4654">
        <w:rPr>
          <w:rFonts w:ascii="宋体" w:hAnsi="宋体" w:hint="eastAsia"/>
          <w:szCs w:val="21"/>
        </w:rPr>
        <w:t>学制：</w:t>
      </w:r>
      <w:r w:rsidRPr="009B1B43">
        <w:rPr>
          <w:rFonts w:ascii="宋体" w:hAnsi="宋体" w:hint="eastAsia"/>
          <w:color w:val="000000" w:themeColor="text1"/>
          <w:szCs w:val="21"/>
        </w:rPr>
        <w:t>1.5年</w:t>
      </w:r>
    </w:p>
    <w:p w:rsidR="00DD7E66" w:rsidRPr="000C4654" w:rsidRDefault="00DD7E66" w:rsidP="00DD7E66">
      <w:pPr>
        <w:pStyle w:val="a9"/>
        <w:spacing w:line="300" w:lineRule="auto"/>
        <w:ind w:firstLineChars="267" w:firstLine="641"/>
        <w:rPr>
          <w:rFonts w:ascii="宋体" w:hAnsi="宋体"/>
          <w:szCs w:val="21"/>
        </w:rPr>
      </w:pPr>
      <w:r w:rsidRPr="000C4654">
        <w:rPr>
          <w:rFonts w:ascii="宋体" w:hAnsi="宋体" w:hint="eastAsia"/>
          <w:szCs w:val="21"/>
        </w:rPr>
        <w:t>2</w:t>
      </w:r>
      <w:r w:rsidRPr="000C4654">
        <w:rPr>
          <w:rFonts w:ascii="宋体" w:hAnsi="宋体"/>
          <w:szCs w:val="21"/>
        </w:rPr>
        <w:t>.总</w:t>
      </w:r>
      <w:r w:rsidRPr="000C4654">
        <w:rPr>
          <w:rFonts w:ascii="宋体" w:hAnsi="宋体" w:hint="eastAsia"/>
          <w:szCs w:val="21"/>
        </w:rPr>
        <w:t>学分要求</w:t>
      </w:r>
      <w:r w:rsidRPr="000C4654">
        <w:rPr>
          <w:rFonts w:ascii="宋体" w:hAnsi="宋体"/>
          <w:szCs w:val="21"/>
        </w:rPr>
        <w:t>：</w:t>
      </w:r>
      <w:r w:rsidRPr="009B1B43">
        <w:rPr>
          <w:rFonts w:ascii="宋体" w:hAnsi="宋体"/>
          <w:color w:val="000000" w:themeColor="text1"/>
          <w:szCs w:val="21"/>
        </w:rPr>
        <w:t>23</w:t>
      </w:r>
      <w:r w:rsidRPr="009B1B43">
        <w:rPr>
          <w:rFonts w:ascii="宋体" w:hAnsi="宋体" w:hint="eastAsia"/>
          <w:color w:val="000000" w:themeColor="text1"/>
          <w:szCs w:val="21"/>
        </w:rPr>
        <w:t>学分</w:t>
      </w:r>
      <w:r>
        <w:rPr>
          <w:rFonts w:ascii="宋体" w:hAnsi="宋体" w:hint="eastAsia"/>
          <w:szCs w:val="21"/>
        </w:rPr>
        <w:t xml:space="preserve"> </w:t>
      </w:r>
    </w:p>
    <w:p w:rsidR="00DD7E66" w:rsidRDefault="00DD7E66" w:rsidP="00DD7E66">
      <w:pPr>
        <w:pStyle w:val="a9"/>
        <w:spacing w:line="300" w:lineRule="auto"/>
        <w:outlineLvl w:val="0"/>
        <w:rPr>
          <w:rFonts w:ascii="黑体" w:eastAsia="黑体"/>
        </w:rPr>
      </w:pPr>
      <w:r w:rsidRPr="000C4654">
        <w:rPr>
          <w:rFonts w:ascii="黑体" w:eastAsia="黑体" w:hint="eastAsia"/>
        </w:rPr>
        <w:t>二、</w:t>
      </w:r>
      <w:r>
        <w:rPr>
          <w:rFonts w:ascii="黑体" w:eastAsia="黑体" w:hint="eastAsia"/>
        </w:rPr>
        <w:t>授予证书</w:t>
      </w:r>
    </w:p>
    <w:p w:rsidR="00DD7E66" w:rsidRDefault="00DD7E66" w:rsidP="00DD7E66">
      <w:pPr>
        <w:pStyle w:val="a9"/>
        <w:spacing w:line="300" w:lineRule="auto"/>
        <w:outlineLvl w:val="0"/>
        <w:rPr>
          <w:rFonts w:ascii="黑体" w:eastAsia="黑体"/>
        </w:rPr>
      </w:pPr>
      <w:r>
        <w:rPr>
          <w:rFonts w:ascii="宋体" w:hAnsi="宋体" w:hint="eastAsia"/>
          <w:szCs w:val="21"/>
        </w:rPr>
        <w:t>北京交通大学微专业证书</w:t>
      </w:r>
    </w:p>
    <w:p w:rsidR="00DD7E66" w:rsidRDefault="00DD7E66" w:rsidP="00DD7E66">
      <w:pPr>
        <w:pStyle w:val="a9"/>
        <w:spacing w:line="300" w:lineRule="auto"/>
        <w:outlineLvl w:val="0"/>
        <w:rPr>
          <w:rFonts w:ascii="黑体" w:eastAsia="黑体"/>
        </w:rPr>
      </w:pPr>
      <w:r>
        <w:rPr>
          <w:rFonts w:ascii="黑体" w:eastAsia="黑体" w:hint="eastAsia"/>
        </w:rPr>
        <w:t>三、微专业简介</w:t>
      </w:r>
    </w:p>
    <w:p w:rsidR="00DD7E66" w:rsidRPr="004C24DC" w:rsidRDefault="00DD7E66" w:rsidP="00DD7E66">
      <w:pPr>
        <w:pStyle w:val="TableParagraph"/>
        <w:spacing w:line="440" w:lineRule="exact"/>
        <w:ind w:left="108" w:right="51" w:firstLine="482"/>
        <w:jc w:val="both"/>
        <w:rPr>
          <w:rFonts w:ascii="Times New Roman" w:hAnsi="Times New Roman" w:cs="Times New Roman"/>
          <w:sz w:val="21"/>
          <w:lang w:val="en-US"/>
        </w:rPr>
      </w:pPr>
      <w:r w:rsidRPr="00DD7E66">
        <w:rPr>
          <w:rFonts w:ascii="Times New Roman" w:hAnsi="Times New Roman" w:cs="Times New Roman"/>
          <w:b/>
          <w:sz w:val="21"/>
          <w:lang w:val="en-US"/>
        </w:rPr>
        <w:t>专业定位：</w:t>
      </w:r>
      <w:r w:rsidRPr="004C24DC">
        <w:rPr>
          <w:rFonts w:ascii="Times New Roman" w:hAnsi="Times New Roman" w:cs="Times New Roman"/>
          <w:sz w:val="21"/>
          <w:lang w:val="en-US"/>
        </w:rPr>
        <w:t>以金融学为基础，以现代信息技术为支撑，以场景应用为牵引，培养掌握金融基本原理、熟悉数据分析工具、具备金融科技创新能力的交叉复合型人才。该专业强调</w:t>
      </w:r>
      <w:r w:rsidRPr="004C24DC">
        <w:rPr>
          <w:rFonts w:ascii="Times New Roman" w:hAnsi="Times New Roman" w:cs="Times New Roman"/>
          <w:sz w:val="21"/>
          <w:lang w:val="en-US"/>
        </w:rPr>
        <w:t>“</w:t>
      </w:r>
      <w:r w:rsidRPr="004C24DC">
        <w:rPr>
          <w:rFonts w:ascii="Times New Roman" w:hAnsi="Times New Roman" w:cs="Times New Roman"/>
          <w:sz w:val="21"/>
          <w:lang w:val="en-US"/>
        </w:rPr>
        <w:t>金融逻辑</w:t>
      </w:r>
      <w:r w:rsidRPr="004C24DC">
        <w:rPr>
          <w:rFonts w:ascii="Times New Roman" w:hAnsi="Times New Roman" w:cs="Times New Roman"/>
          <w:sz w:val="21"/>
          <w:lang w:val="en-US"/>
        </w:rPr>
        <w:t>+</w:t>
      </w:r>
      <w:r w:rsidRPr="004C24DC">
        <w:rPr>
          <w:rFonts w:ascii="Times New Roman" w:hAnsi="Times New Roman" w:cs="Times New Roman"/>
          <w:sz w:val="21"/>
          <w:lang w:val="en-US"/>
        </w:rPr>
        <w:t>技术工具</w:t>
      </w:r>
      <w:r w:rsidRPr="004C24DC">
        <w:rPr>
          <w:rFonts w:ascii="Times New Roman" w:hAnsi="Times New Roman" w:cs="Times New Roman"/>
          <w:sz w:val="21"/>
          <w:lang w:val="en-US"/>
        </w:rPr>
        <w:t>+</w:t>
      </w:r>
      <w:r w:rsidRPr="004C24DC">
        <w:rPr>
          <w:rFonts w:ascii="Times New Roman" w:hAnsi="Times New Roman" w:cs="Times New Roman"/>
          <w:sz w:val="21"/>
          <w:lang w:val="en-US"/>
        </w:rPr>
        <w:t>应用导向</w:t>
      </w:r>
      <w:r w:rsidRPr="004C24DC">
        <w:rPr>
          <w:rFonts w:ascii="Times New Roman" w:hAnsi="Times New Roman" w:cs="Times New Roman"/>
          <w:sz w:val="21"/>
          <w:lang w:val="en-US"/>
        </w:rPr>
        <w:t>”</w:t>
      </w:r>
      <w:r w:rsidRPr="004C24DC">
        <w:rPr>
          <w:rFonts w:ascii="Times New Roman" w:hAnsi="Times New Roman" w:cs="Times New Roman"/>
          <w:sz w:val="21"/>
          <w:lang w:val="en-US"/>
        </w:rPr>
        <w:t>的融合特征，面向未来智能金融、</w:t>
      </w:r>
      <w:r w:rsidRPr="004C24DC">
        <w:rPr>
          <w:rFonts w:ascii="Times New Roman" w:hAnsi="Times New Roman" w:cs="Times New Roman" w:hint="eastAsia"/>
          <w:sz w:val="21"/>
          <w:lang w:val="en-US"/>
        </w:rPr>
        <w:t>数字金融等</w:t>
      </w:r>
      <w:r w:rsidRPr="004C24DC">
        <w:rPr>
          <w:rFonts w:ascii="Times New Roman" w:hAnsi="Times New Roman" w:cs="Times New Roman"/>
          <w:sz w:val="21"/>
          <w:lang w:val="en-US"/>
        </w:rPr>
        <w:t>典型场景，突出交叉性、应用性与时代性。</w:t>
      </w:r>
    </w:p>
    <w:p w:rsidR="00DD7E66" w:rsidRPr="004C24DC" w:rsidRDefault="00DD7E66" w:rsidP="00DD7E66">
      <w:pPr>
        <w:pStyle w:val="TableParagraph"/>
        <w:spacing w:line="440" w:lineRule="exact"/>
        <w:ind w:left="108" w:right="51" w:firstLine="482"/>
        <w:jc w:val="both"/>
        <w:rPr>
          <w:rFonts w:ascii="Times New Roman" w:hAnsi="Times New Roman" w:cs="Times New Roman"/>
          <w:sz w:val="21"/>
          <w:lang w:val="en-US"/>
        </w:rPr>
      </w:pPr>
      <w:r w:rsidRPr="00DD7E66">
        <w:rPr>
          <w:rFonts w:ascii="Times New Roman" w:hAnsi="Times New Roman" w:cs="Times New Roman"/>
          <w:b/>
          <w:sz w:val="21"/>
          <w:lang w:val="en-US"/>
        </w:rPr>
        <w:t>培养对象</w:t>
      </w:r>
      <w:r w:rsidRPr="00DD7E66">
        <w:rPr>
          <w:rFonts w:ascii="Times New Roman" w:hAnsi="Times New Roman" w:cs="Times New Roman" w:hint="eastAsia"/>
          <w:b/>
          <w:sz w:val="21"/>
          <w:lang w:val="en-US"/>
        </w:rPr>
        <w:t>：</w:t>
      </w:r>
      <w:r w:rsidRPr="004C24DC">
        <w:rPr>
          <w:rFonts w:ascii="Times New Roman" w:hAnsi="Times New Roman" w:cs="Times New Roman" w:hint="eastAsia"/>
          <w:sz w:val="21"/>
          <w:lang w:val="en-US"/>
        </w:rPr>
        <w:t>全校</w:t>
      </w:r>
      <w:r w:rsidRPr="004C24DC">
        <w:rPr>
          <w:rFonts w:ascii="Times New Roman" w:hAnsi="Times New Roman" w:cs="Times New Roman"/>
          <w:sz w:val="21"/>
          <w:lang w:val="en-US"/>
        </w:rPr>
        <w:t>二年级及以上的非金融类（如计算机、信息、数学、统计、工程管理等）并</w:t>
      </w:r>
      <w:r w:rsidRPr="004C24DC">
        <w:rPr>
          <w:rFonts w:ascii="Times New Roman" w:hAnsi="Times New Roman" w:cs="Times New Roman" w:hint="eastAsia"/>
          <w:sz w:val="21"/>
          <w:lang w:val="en-US"/>
        </w:rPr>
        <w:t>具有一定的数学和计算机基础的</w:t>
      </w:r>
      <w:r w:rsidRPr="004C24DC">
        <w:rPr>
          <w:rFonts w:ascii="Times New Roman" w:hAnsi="Times New Roman" w:cs="Times New Roman"/>
          <w:sz w:val="21"/>
          <w:lang w:val="en-US"/>
        </w:rPr>
        <w:t>本科生</w:t>
      </w:r>
      <w:r w:rsidRPr="004C24DC">
        <w:rPr>
          <w:rFonts w:ascii="Times New Roman" w:hAnsi="Times New Roman" w:cs="Times New Roman" w:hint="eastAsia"/>
          <w:sz w:val="21"/>
          <w:lang w:val="en-US"/>
        </w:rPr>
        <w:t>或</w:t>
      </w:r>
      <w:r w:rsidRPr="004C24DC">
        <w:rPr>
          <w:rFonts w:ascii="Times New Roman" w:hAnsi="Times New Roman" w:cs="Times New Roman"/>
          <w:sz w:val="21"/>
          <w:lang w:val="en-US"/>
        </w:rPr>
        <w:t>研究生</w:t>
      </w:r>
      <w:r w:rsidRPr="004C24DC">
        <w:rPr>
          <w:rFonts w:ascii="Times New Roman" w:hAnsi="Times New Roman" w:cs="Times New Roman" w:hint="eastAsia"/>
          <w:sz w:val="21"/>
          <w:lang w:val="en-US"/>
        </w:rPr>
        <w:t>，</w:t>
      </w:r>
      <w:r w:rsidRPr="004C24DC">
        <w:rPr>
          <w:rFonts w:ascii="Times New Roman" w:hAnsi="Times New Roman" w:cs="Times New Roman"/>
          <w:sz w:val="21"/>
          <w:lang w:val="en-US"/>
        </w:rPr>
        <w:t>特别面向对金融科技领域具有浓厚兴趣、希望拓展跨学科知识结构、提升就业竞争力的学生群体。</w:t>
      </w:r>
    </w:p>
    <w:p w:rsidR="00DD7E66" w:rsidRPr="004C24DC" w:rsidRDefault="00DD7E66" w:rsidP="00DD7E66">
      <w:pPr>
        <w:pStyle w:val="TableParagraph"/>
        <w:spacing w:line="440" w:lineRule="exact"/>
        <w:ind w:left="108" w:right="51" w:firstLine="482"/>
        <w:jc w:val="both"/>
        <w:rPr>
          <w:rFonts w:ascii="Times New Roman" w:hAnsi="Times New Roman" w:cs="Times New Roman"/>
          <w:sz w:val="21"/>
          <w:lang w:val="en-US"/>
        </w:rPr>
      </w:pPr>
      <w:r w:rsidRPr="00DD7E66">
        <w:rPr>
          <w:rFonts w:ascii="Times New Roman" w:hAnsi="Times New Roman" w:cs="Times New Roman"/>
          <w:b/>
          <w:sz w:val="21"/>
          <w:lang w:val="en-US"/>
        </w:rPr>
        <w:t>培养内容</w:t>
      </w:r>
      <w:r w:rsidRPr="00DD7E66">
        <w:rPr>
          <w:rFonts w:ascii="Times New Roman" w:hAnsi="Times New Roman" w:cs="Times New Roman" w:hint="eastAsia"/>
          <w:b/>
          <w:sz w:val="21"/>
          <w:lang w:val="en-US"/>
        </w:rPr>
        <w:t>：</w:t>
      </w:r>
      <w:r w:rsidRPr="004C24DC">
        <w:rPr>
          <w:rFonts w:ascii="Times New Roman" w:hAnsi="Times New Roman" w:cs="Times New Roman" w:hint="eastAsia"/>
          <w:sz w:val="21"/>
          <w:lang w:val="en-US"/>
        </w:rPr>
        <w:t>传统金融理论为基础，</w:t>
      </w:r>
      <w:r w:rsidRPr="004C24DC">
        <w:rPr>
          <w:rFonts w:ascii="Times New Roman" w:hAnsi="Times New Roman" w:cs="Times New Roman"/>
          <w:sz w:val="21"/>
          <w:lang w:val="en-US"/>
        </w:rPr>
        <w:t>围绕</w:t>
      </w:r>
      <w:r w:rsidRPr="004C24DC">
        <w:rPr>
          <w:rFonts w:ascii="Times New Roman" w:hAnsi="Times New Roman" w:cs="Times New Roman"/>
          <w:sz w:val="21"/>
          <w:lang w:val="en-US"/>
        </w:rPr>
        <w:t>“</w:t>
      </w:r>
      <w:r w:rsidRPr="004C24DC">
        <w:rPr>
          <w:rFonts w:ascii="Times New Roman" w:hAnsi="Times New Roman" w:cs="Times New Roman"/>
          <w:sz w:val="21"/>
          <w:lang w:val="en-US"/>
        </w:rPr>
        <w:t>通识</w:t>
      </w:r>
      <w:r w:rsidRPr="004C24DC">
        <w:rPr>
          <w:rFonts w:ascii="Times New Roman" w:hAnsi="Times New Roman" w:cs="Times New Roman"/>
          <w:sz w:val="21"/>
          <w:lang w:val="en-US"/>
        </w:rPr>
        <w:t>—</w:t>
      </w:r>
      <w:r w:rsidRPr="004C24DC">
        <w:rPr>
          <w:rFonts w:ascii="Times New Roman" w:hAnsi="Times New Roman" w:cs="Times New Roman"/>
          <w:sz w:val="21"/>
          <w:lang w:val="en-US"/>
        </w:rPr>
        <w:t>工具</w:t>
      </w:r>
      <w:r w:rsidRPr="004C24DC">
        <w:rPr>
          <w:rFonts w:ascii="Times New Roman" w:hAnsi="Times New Roman" w:cs="Times New Roman"/>
          <w:sz w:val="21"/>
          <w:lang w:val="en-US"/>
        </w:rPr>
        <w:t>—</w:t>
      </w:r>
      <w:r w:rsidRPr="004C24DC">
        <w:rPr>
          <w:rFonts w:ascii="Times New Roman" w:hAnsi="Times New Roman" w:cs="Times New Roman"/>
          <w:sz w:val="21"/>
          <w:lang w:val="en-US"/>
        </w:rPr>
        <w:t>应用</w:t>
      </w:r>
      <w:r w:rsidRPr="004C24DC">
        <w:rPr>
          <w:rFonts w:ascii="Times New Roman" w:hAnsi="Times New Roman" w:cs="Times New Roman"/>
          <w:sz w:val="21"/>
          <w:lang w:val="en-US"/>
        </w:rPr>
        <w:t>”</w:t>
      </w:r>
      <w:r w:rsidRPr="004C24DC">
        <w:rPr>
          <w:rFonts w:ascii="Times New Roman" w:hAnsi="Times New Roman" w:cs="Times New Roman"/>
          <w:sz w:val="21"/>
          <w:lang w:val="en-US"/>
        </w:rPr>
        <w:t>三个层次展开，课程体系</w:t>
      </w:r>
      <w:r w:rsidRPr="004C24DC">
        <w:rPr>
          <w:rFonts w:ascii="Times New Roman" w:hAnsi="Times New Roman" w:cs="Times New Roman"/>
          <w:sz w:val="21"/>
          <w:lang w:val="en-US"/>
        </w:rPr>
        <w:lastRenderedPageBreak/>
        <w:t>设置包括：《金融学》《</w:t>
      </w:r>
      <w:r w:rsidRPr="004C24DC">
        <w:rPr>
          <w:rFonts w:ascii="Times New Roman" w:hAnsi="Times New Roman" w:cs="Times New Roman" w:hint="eastAsia"/>
          <w:sz w:val="21"/>
          <w:lang w:val="en-US"/>
        </w:rPr>
        <w:t>公司金融</w:t>
      </w:r>
      <w:r w:rsidRPr="004C24DC">
        <w:rPr>
          <w:rFonts w:ascii="Times New Roman" w:hAnsi="Times New Roman" w:cs="Times New Roman"/>
          <w:sz w:val="21"/>
          <w:lang w:val="en-US"/>
        </w:rPr>
        <w:t>》《</w:t>
      </w:r>
      <w:r w:rsidRPr="004C24DC">
        <w:rPr>
          <w:rFonts w:ascii="Times New Roman" w:hAnsi="Times New Roman" w:cs="Times New Roman" w:hint="eastAsia"/>
          <w:sz w:val="21"/>
          <w:lang w:val="en-US"/>
        </w:rPr>
        <w:t>金融科技学</w:t>
      </w:r>
      <w:r w:rsidRPr="004C24DC">
        <w:rPr>
          <w:rFonts w:ascii="Times New Roman" w:hAnsi="Times New Roman" w:cs="Times New Roman"/>
          <w:sz w:val="21"/>
          <w:lang w:val="en-US"/>
        </w:rPr>
        <w:t>》</w:t>
      </w:r>
      <w:r w:rsidRPr="004C24DC">
        <w:rPr>
          <w:rFonts w:ascii="Times New Roman" w:hAnsi="Times New Roman" w:cs="Times New Roman" w:hint="eastAsia"/>
          <w:sz w:val="21"/>
          <w:lang w:val="en-US"/>
        </w:rPr>
        <w:t>《</w:t>
      </w:r>
      <w:r w:rsidRPr="004C24DC">
        <w:rPr>
          <w:rFonts w:ascii="Times New Roman" w:hAnsi="Times New Roman" w:cs="Times New Roman"/>
          <w:sz w:val="21"/>
          <w:lang w:val="en-US"/>
        </w:rPr>
        <w:t>金融大数据分析》《人工智能原理与金融应用》《区块链技术与应用》</w:t>
      </w:r>
      <w:r w:rsidRPr="004C24DC">
        <w:rPr>
          <w:rFonts w:ascii="Times New Roman" w:hAnsi="Times New Roman" w:cs="Times New Roman" w:hint="eastAsia"/>
          <w:sz w:val="21"/>
          <w:lang w:val="en-US"/>
        </w:rPr>
        <w:t>等</w:t>
      </w:r>
      <w:r w:rsidRPr="004C24DC">
        <w:rPr>
          <w:rFonts w:ascii="Times New Roman" w:hAnsi="Times New Roman" w:cs="Times New Roman"/>
          <w:sz w:val="21"/>
          <w:lang w:val="en-US"/>
        </w:rPr>
        <w:t>。学生将系统学习金融市场运作机制与主流科技工具，掌握数据驱动建模与</w:t>
      </w:r>
      <w:r w:rsidRPr="004C24DC">
        <w:rPr>
          <w:rFonts w:ascii="Times New Roman" w:hAnsi="Times New Roman" w:cs="Times New Roman" w:hint="eastAsia"/>
          <w:sz w:val="21"/>
          <w:lang w:val="en-US"/>
        </w:rPr>
        <w:t>分析</w:t>
      </w:r>
      <w:r w:rsidRPr="004C24DC">
        <w:rPr>
          <w:rFonts w:ascii="Times New Roman" w:hAnsi="Times New Roman" w:cs="Times New Roman"/>
          <w:sz w:val="21"/>
          <w:lang w:val="en-US"/>
        </w:rPr>
        <w:t>方法，了解金融科技前沿。</w:t>
      </w:r>
    </w:p>
    <w:p w:rsidR="00DD7E66" w:rsidRPr="00DD7E66" w:rsidRDefault="00DD7E66" w:rsidP="00DD7E66">
      <w:pPr>
        <w:pStyle w:val="TableParagraph"/>
        <w:spacing w:line="440" w:lineRule="exact"/>
        <w:ind w:left="108" w:right="51" w:firstLine="482"/>
        <w:jc w:val="both"/>
        <w:rPr>
          <w:rFonts w:ascii="Times New Roman" w:hAnsi="Times New Roman" w:cs="Times New Roman"/>
          <w:sz w:val="21"/>
          <w:lang w:val="en-US"/>
        </w:rPr>
      </w:pPr>
      <w:r w:rsidRPr="00DD7E66">
        <w:rPr>
          <w:rFonts w:ascii="Times New Roman" w:hAnsi="Times New Roman" w:cs="Times New Roman"/>
          <w:b/>
          <w:sz w:val="21"/>
          <w:lang w:val="en-US"/>
        </w:rPr>
        <w:t>培养方法</w:t>
      </w:r>
      <w:r w:rsidRPr="00DD7E66">
        <w:rPr>
          <w:rFonts w:ascii="Times New Roman" w:hAnsi="Times New Roman" w:cs="Times New Roman" w:hint="eastAsia"/>
          <w:b/>
          <w:sz w:val="21"/>
          <w:lang w:val="en-US"/>
        </w:rPr>
        <w:t>：</w:t>
      </w:r>
      <w:r w:rsidRPr="004C24DC">
        <w:rPr>
          <w:rFonts w:ascii="Times New Roman" w:hAnsi="Times New Roman" w:cs="Times New Roman"/>
          <w:sz w:val="21"/>
          <w:lang w:val="en-US"/>
        </w:rPr>
        <w:t>突出实践导向与跨界融合，采用</w:t>
      </w:r>
      <w:r w:rsidRPr="004C24DC">
        <w:rPr>
          <w:rFonts w:ascii="Times New Roman" w:hAnsi="Times New Roman" w:cs="Times New Roman"/>
          <w:sz w:val="21"/>
          <w:lang w:val="en-US"/>
        </w:rPr>
        <w:t>“</w:t>
      </w:r>
      <w:r w:rsidRPr="004C24DC">
        <w:rPr>
          <w:rFonts w:ascii="Times New Roman" w:hAnsi="Times New Roman" w:cs="Times New Roman"/>
          <w:sz w:val="21"/>
          <w:lang w:val="en-US"/>
        </w:rPr>
        <w:t>理论讲授</w:t>
      </w:r>
      <w:r w:rsidRPr="004C24DC">
        <w:rPr>
          <w:rFonts w:ascii="Times New Roman" w:hAnsi="Times New Roman" w:cs="Times New Roman"/>
          <w:sz w:val="21"/>
          <w:lang w:val="en-US"/>
        </w:rPr>
        <w:t>+</w:t>
      </w:r>
      <w:r w:rsidRPr="004C24DC">
        <w:rPr>
          <w:rFonts w:ascii="Times New Roman" w:hAnsi="Times New Roman" w:cs="Times New Roman"/>
          <w:sz w:val="21"/>
          <w:lang w:val="en-US"/>
        </w:rPr>
        <w:t>案例研讨</w:t>
      </w:r>
      <w:r w:rsidRPr="004C24DC">
        <w:rPr>
          <w:rFonts w:ascii="Times New Roman" w:hAnsi="Times New Roman" w:cs="Times New Roman"/>
          <w:sz w:val="21"/>
          <w:lang w:val="en-US"/>
        </w:rPr>
        <w:t>+</w:t>
      </w:r>
      <w:r w:rsidRPr="004C24DC">
        <w:rPr>
          <w:rFonts w:ascii="Times New Roman" w:hAnsi="Times New Roman" w:cs="Times New Roman"/>
          <w:sz w:val="21"/>
          <w:lang w:val="en-US"/>
        </w:rPr>
        <w:t>实验操作</w:t>
      </w:r>
      <w:r w:rsidRPr="004C24DC">
        <w:rPr>
          <w:rFonts w:ascii="Times New Roman" w:hAnsi="Times New Roman" w:cs="Times New Roman"/>
          <w:sz w:val="21"/>
          <w:lang w:val="en-US"/>
        </w:rPr>
        <w:t>”</w:t>
      </w:r>
      <w:r w:rsidRPr="004C24DC">
        <w:rPr>
          <w:rFonts w:ascii="Times New Roman" w:hAnsi="Times New Roman" w:cs="Times New Roman"/>
          <w:sz w:val="21"/>
          <w:lang w:val="en-US"/>
        </w:rPr>
        <w:t>相结合的教学模式，在教学环节中引入案例、</w:t>
      </w:r>
      <w:r w:rsidRPr="004C24DC">
        <w:rPr>
          <w:rFonts w:ascii="Times New Roman" w:hAnsi="Times New Roman" w:cs="Times New Roman" w:hint="eastAsia"/>
          <w:sz w:val="21"/>
          <w:lang w:val="en-US"/>
        </w:rPr>
        <w:t>业界分享、学术讲</w:t>
      </w:r>
      <w:r w:rsidRPr="004C24DC">
        <w:rPr>
          <w:rFonts w:ascii="Times New Roman" w:hAnsi="Times New Roman" w:cs="Times New Roman"/>
          <w:sz w:val="21"/>
          <w:lang w:val="en-US"/>
        </w:rPr>
        <w:t>座</w:t>
      </w:r>
      <w:r w:rsidRPr="004C24DC">
        <w:rPr>
          <w:rFonts w:ascii="Times New Roman" w:hAnsi="Times New Roman" w:cs="Times New Roman" w:hint="eastAsia"/>
          <w:sz w:val="21"/>
          <w:lang w:val="en-US"/>
        </w:rPr>
        <w:t>等</w:t>
      </w:r>
      <w:r w:rsidRPr="004C24DC">
        <w:rPr>
          <w:rFonts w:ascii="Times New Roman" w:hAnsi="Times New Roman" w:cs="Times New Roman"/>
          <w:sz w:val="21"/>
          <w:lang w:val="en-US"/>
        </w:rPr>
        <w:t>，鼓励学生参与科研竞赛和实践实训，提升学习深度与广度。</w:t>
      </w:r>
    </w:p>
    <w:p w:rsidR="00DD7E66" w:rsidRPr="000C4654" w:rsidRDefault="00DD7E66" w:rsidP="00DD7E66">
      <w:pPr>
        <w:pStyle w:val="a9"/>
        <w:spacing w:line="300" w:lineRule="auto"/>
        <w:outlineLvl w:val="0"/>
        <w:rPr>
          <w:rFonts w:ascii="黑体" w:eastAsia="黑体"/>
        </w:rPr>
      </w:pPr>
      <w:r>
        <w:rPr>
          <w:rFonts w:ascii="黑体" w:eastAsia="黑体" w:hint="eastAsia"/>
        </w:rPr>
        <w:t>四</w:t>
      </w:r>
      <w:r w:rsidRPr="000C4654">
        <w:rPr>
          <w:rFonts w:ascii="黑体" w:eastAsia="黑体" w:hint="eastAsia"/>
        </w:rPr>
        <w:t>、培养目标</w:t>
      </w:r>
    </w:p>
    <w:p w:rsidR="00DD7E66" w:rsidRPr="00DD7E66" w:rsidRDefault="00DD7E66" w:rsidP="00DD7E66">
      <w:pPr>
        <w:pStyle w:val="TableParagraph"/>
        <w:spacing w:line="440" w:lineRule="exact"/>
        <w:ind w:left="108" w:right="51" w:firstLine="482"/>
        <w:jc w:val="both"/>
        <w:rPr>
          <w:rFonts w:ascii="Times New Roman" w:hAnsi="Times New Roman" w:cs="Times New Roman"/>
          <w:sz w:val="24"/>
          <w:lang w:val="en-US"/>
        </w:rPr>
      </w:pPr>
      <w:r w:rsidRPr="004C24DC">
        <w:rPr>
          <w:rFonts w:ascii="Times New Roman" w:hAnsi="Times New Roman" w:cs="Times New Roman" w:hint="eastAsia"/>
          <w:sz w:val="21"/>
          <w:lang w:val="en-US"/>
        </w:rPr>
        <w:t>以习近平新时代中国特色社会主义思想为指导，全面贯彻党的教育方针，紧紧围绕立德树人根本任务，着力培养具有社会主义核心价值观、浓厚国家情怀和德智体美劳全面发展的社会主义建设者和接班人。依托学校行业背景，发挥学院多学科交叉优势，以金融科技专业特色为引领，围绕学校“基础宽厚，专业精深，思维创新，能力卓越，品德优秀”的人才培养目标，以“数智化、国际化和创新型”为培养理念，注重学科交叉与产业融合，培养具备健全人格和社会责任感，金融科技专业基础扎实，实践能力强，具有创新创业意识和国际视野的高素质专门人才。</w:t>
      </w:r>
    </w:p>
    <w:p w:rsidR="00DD7E66" w:rsidRPr="000C4654" w:rsidRDefault="00DD7E66" w:rsidP="00DD7E66">
      <w:pPr>
        <w:pStyle w:val="a9"/>
        <w:spacing w:line="300" w:lineRule="auto"/>
        <w:outlineLvl w:val="0"/>
        <w:rPr>
          <w:rFonts w:ascii="黑体" w:eastAsia="黑体"/>
        </w:rPr>
      </w:pPr>
      <w:r>
        <w:rPr>
          <w:rFonts w:ascii="黑体" w:eastAsia="黑体" w:hint="eastAsia"/>
        </w:rPr>
        <w:t>五</w:t>
      </w:r>
      <w:r w:rsidRPr="000C4654">
        <w:rPr>
          <w:rFonts w:ascii="黑体" w:eastAsia="黑体" w:hint="eastAsia"/>
        </w:rPr>
        <w:t>、</w:t>
      </w:r>
      <w:r>
        <w:rPr>
          <w:rFonts w:ascii="黑体" w:eastAsia="黑体" w:hint="eastAsia"/>
        </w:rPr>
        <w:t>先修要求</w:t>
      </w:r>
    </w:p>
    <w:p w:rsidR="00DD7E66" w:rsidRPr="00DD7E66" w:rsidRDefault="00DD7E66" w:rsidP="00DD7E66">
      <w:pPr>
        <w:pStyle w:val="TableParagraph"/>
        <w:spacing w:line="440" w:lineRule="exact"/>
        <w:ind w:left="108" w:right="51" w:firstLine="482"/>
        <w:jc w:val="both"/>
        <w:rPr>
          <w:rFonts w:ascii="Times New Roman" w:hAnsi="Times New Roman" w:cs="Times New Roman"/>
          <w:sz w:val="21"/>
          <w:lang w:val="en-US"/>
        </w:rPr>
      </w:pPr>
      <w:r w:rsidRPr="004C24DC">
        <w:rPr>
          <w:rFonts w:ascii="Times New Roman" w:hAnsi="Times New Roman" w:cs="Times New Roman" w:hint="eastAsia"/>
          <w:sz w:val="21"/>
          <w:lang w:val="en-US"/>
        </w:rPr>
        <w:t>微积分、线性代数、经济学</w:t>
      </w:r>
      <w:r w:rsidRPr="004C24DC">
        <w:rPr>
          <w:rFonts w:ascii="Times New Roman" w:hAnsi="Times New Roman" w:cs="Times New Roman"/>
          <w:sz w:val="21"/>
          <w:lang w:val="en-US"/>
        </w:rPr>
        <w:t>原理、会计学原理</w:t>
      </w:r>
      <w:r>
        <w:rPr>
          <w:rFonts w:ascii="Times New Roman" w:hAnsi="Times New Roman" w:cs="Times New Roman" w:hint="eastAsia"/>
          <w:sz w:val="21"/>
          <w:lang w:val="en-US"/>
        </w:rPr>
        <w:t>。</w:t>
      </w:r>
    </w:p>
    <w:p w:rsidR="00DD7E66" w:rsidRPr="000C4654" w:rsidRDefault="00DD7E66" w:rsidP="00DD7E66">
      <w:pPr>
        <w:pStyle w:val="a9"/>
        <w:spacing w:line="300" w:lineRule="auto"/>
        <w:outlineLvl w:val="0"/>
        <w:rPr>
          <w:rFonts w:ascii="黑体" w:eastAsia="黑体"/>
        </w:rPr>
      </w:pPr>
      <w:r>
        <w:rPr>
          <w:rFonts w:ascii="黑体" w:eastAsia="黑体" w:hint="eastAsia"/>
        </w:rPr>
        <w:t>六</w:t>
      </w:r>
      <w:r w:rsidRPr="000C4654">
        <w:rPr>
          <w:rFonts w:ascii="黑体" w:eastAsia="黑体" w:hint="eastAsia"/>
        </w:rPr>
        <w:t>、课程设置及教学进程计划</w:t>
      </w:r>
    </w:p>
    <w:p w:rsidR="00DD7E66" w:rsidRPr="000C4654" w:rsidRDefault="00DD7E66" w:rsidP="00DD7E66">
      <w:pPr>
        <w:widowControl/>
        <w:jc w:val="center"/>
        <w:rPr>
          <w:rFonts w:ascii="宋体" w:hAnsi="宋体"/>
          <w:b/>
          <w:i/>
          <w:color w:val="FF0000"/>
          <w:szCs w:val="21"/>
        </w:rPr>
      </w:pPr>
      <w:r w:rsidRPr="000C4654">
        <w:rPr>
          <w:rFonts w:ascii="宋体" w:hAnsi="宋体" w:hint="eastAsia"/>
          <w:b/>
          <w:szCs w:val="21"/>
        </w:rPr>
        <w:t>表</w:t>
      </w:r>
      <w:r>
        <w:rPr>
          <w:rFonts w:ascii="宋体" w:hAnsi="宋体" w:hint="eastAsia"/>
          <w:b/>
          <w:szCs w:val="21"/>
        </w:rPr>
        <w:t>1</w:t>
      </w:r>
      <w:r>
        <w:rPr>
          <w:rFonts w:ascii="宋体" w:hAnsi="宋体"/>
          <w:b/>
          <w:szCs w:val="21"/>
        </w:rPr>
        <w:t xml:space="preserve"> </w:t>
      </w:r>
      <w:r w:rsidRPr="000C4654">
        <w:rPr>
          <w:rFonts w:ascii="宋体" w:hAnsi="宋体" w:hint="eastAsia"/>
          <w:b/>
          <w:szCs w:val="21"/>
        </w:rPr>
        <w:t>课程设置及教学进程计划</w:t>
      </w:r>
    </w:p>
    <w:tbl>
      <w:tblPr>
        <w:tblW w:w="5999" w:type="pct"/>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417"/>
        <w:gridCol w:w="1141"/>
        <w:gridCol w:w="1109"/>
        <w:gridCol w:w="1003"/>
        <w:gridCol w:w="741"/>
        <w:gridCol w:w="840"/>
        <w:gridCol w:w="840"/>
        <w:gridCol w:w="840"/>
        <w:gridCol w:w="770"/>
      </w:tblGrid>
      <w:tr w:rsidR="00DD7E66" w:rsidRPr="000C4654" w:rsidTr="006C3F01">
        <w:trPr>
          <w:trHeight w:val="1075"/>
        </w:trPr>
        <w:tc>
          <w:tcPr>
            <w:tcW w:w="629" w:type="pct"/>
            <w:shd w:val="clear" w:color="auto" w:fill="auto"/>
            <w:vAlign w:val="center"/>
            <w:hideMark/>
          </w:tcPr>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课程模块</w:t>
            </w:r>
          </w:p>
        </w:tc>
        <w:tc>
          <w:tcPr>
            <w:tcW w:w="712" w:type="pct"/>
            <w:shd w:val="clear" w:color="auto" w:fill="auto"/>
            <w:vAlign w:val="center"/>
            <w:hideMark/>
          </w:tcPr>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课</w:t>
            </w:r>
            <w:r w:rsidRPr="000C4654">
              <w:rPr>
                <w:rFonts w:asciiTheme="minorEastAsia" w:eastAsiaTheme="minorEastAsia" w:hAnsiTheme="minorEastAsia"/>
                <w:b/>
                <w:bCs/>
                <w:kern w:val="0"/>
                <w:sz w:val="18"/>
                <w:szCs w:val="18"/>
              </w:rPr>
              <w:t xml:space="preserve"> </w:t>
            </w:r>
            <w:r w:rsidRPr="000C4654">
              <w:rPr>
                <w:rFonts w:asciiTheme="minorEastAsia" w:eastAsiaTheme="minorEastAsia" w:hAnsiTheme="minorEastAsia" w:cs="宋体" w:hint="eastAsia"/>
                <w:b/>
                <w:bCs/>
                <w:kern w:val="0"/>
                <w:sz w:val="18"/>
                <w:szCs w:val="18"/>
              </w:rPr>
              <w:t>程</w:t>
            </w:r>
            <w:r w:rsidRPr="000C4654">
              <w:rPr>
                <w:rFonts w:asciiTheme="minorEastAsia" w:eastAsiaTheme="minorEastAsia" w:hAnsiTheme="minorEastAsia"/>
                <w:b/>
                <w:bCs/>
                <w:kern w:val="0"/>
                <w:sz w:val="18"/>
                <w:szCs w:val="18"/>
              </w:rPr>
              <w:t xml:space="preserve"> </w:t>
            </w:r>
            <w:r w:rsidRPr="000C4654">
              <w:rPr>
                <w:rFonts w:asciiTheme="minorEastAsia" w:eastAsiaTheme="minorEastAsia" w:hAnsiTheme="minorEastAsia" w:cs="宋体" w:hint="eastAsia"/>
                <w:b/>
                <w:bCs/>
                <w:kern w:val="0"/>
                <w:sz w:val="18"/>
                <w:szCs w:val="18"/>
              </w:rPr>
              <w:t>名</w:t>
            </w:r>
            <w:r w:rsidRPr="000C4654">
              <w:rPr>
                <w:rFonts w:asciiTheme="minorEastAsia" w:eastAsiaTheme="minorEastAsia" w:hAnsiTheme="minorEastAsia"/>
                <w:b/>
                <w:bCs/>
                <w:kern w:val="0"/>
                <w:sz w:val="18"/>
                <w:szCs w:val="18"/>
              </w:rPr>
              <w:t xml:space="preserve"> </w:t>
            </w:r>
            <w:r w:rsidRPr="000C4654">
              <w:rPr>
                <w:rFonts w:asciiTheme="minorEastAsia" w:eastAsiaTheme="minorEastAsia" w:hAnsiTheme="minorEastAsia" w:cs="宋体" w:hint="eastAsia"/>
                <w:b/>
                <w:bCs/>
                <w:kern w:val="0"/>
                <w:sz w:val="18"/>
                <w:szCs w:val="18"/>
              </w:rPr>
              <w:t>称</w:t>
            </w:r>
          </w:p>
        </w:tc>
        <w:tc>
          <w:tcPr>
            <w:tcW w:w="573" w:type="pct"/>
            <w:shd w:val="clear" w:color="auto" w:fill="auto"/>
            <w:vAlign w:val="center"/>
            <w:hideMark/>
          </w:tcPr>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课程号</w:t>
            </w:r>
          </w:p>
        </w:tc>
        <w:tc>
          <w:tcPr>
            <w:tcW w:w="557" w:type="pct"/>
            <w:shd w:val="clear" w:color="auto" w:fill="auto"/>
            <w:vAlign w:val="center"/>
            <w:hideMark/>
          </w:tcPr>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课程性质（必/选）</w:t>
            </w:r>
          </w:p>
        </w:tc>
        <w:tc>
          <w:tcPr>
            <w:tcW w:w="504" w:type="pct"/>
            <w:shd w:val="clear" w:color="auto" w:fill="auto"/>
            <w:vAlign w:val="center"/>
            <w:hideMark/>
          </w:tcPr>
          <w:p w:rsidR="00DD7E66"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记分方式</w:t>
            </w:r>
          </w:p>
          <w:p w:rsidR="00DD7E66" w:rsidRPr="000C4654" w:rsidRDefault="00DD7E66" w:rsidP="006C3F01">
            <w:pPr>
              <w:widowControl/>
              <w:jc w:val="center"/>
              <w:rPr>
                <w:rFonts w:asciiTheme="minorEastAsia" w:eastAsiaTheme="minorEastAsia" w:hAnsiTheme="minorEastAsia" w:cs="宋体"/>
                <w:b/>
                <w:bCs/>
                <w:kern w:val="0"/>
                <w:sz w:val="18"/>
                <w:szCs w:val="18"/>
              </w:rPr>
            </w:pPr>
            <w:r>
              <w:rPr>
                <w:rFonts w:asciiTheme="minorEastAsia" w:eastAsiaTheme="minorEastAsia" w:hAnsiTheme="minorEastAsia" w:cs="宋体" w:hint="eastAsia"/>
                <w:b/>
                <w:bCs/>
                <w:kern w:val="0"/>
                <w:sz w:val="18"/>
                <w:szCs w:val="18"/>
              </w:rPr>
              <w:t>（百分制/五级制）</w:t>
            </w:r>
          </w:p>
        </w:tc>
        <w:tc>
          <w:tcPr>
            <w:tcW w:w="372" w:type="pct"/>
            <w:shd w:val="clear" w:color="auto" w:fill="auto"/>
            <w:vAlign w:val="center"/>
            <w:hideMark/>
          </w:tcPr>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学分要求</w:t>
            </w:r>
          </w:p>
        </w:tc>
        <w:tc>
          <w:tcPr>
            <w:tcW w:w="422" w:type="pct"/>
            <w:shd w:val="clear" w:color="auto" w:fill="auto"/>
            <w:vAlign w:val="center"/>
            <w:hideMark/>
          </w:tcPr>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总学时</w:t>
            </w:r>
          </w:p>
        </w:tc>
        <w:tc>
          <w:tcPr>
            <w:tcW w:w="422" w:type="pct"/>
            <w:shd w:val="clear" w:color="auto" w:fill="auto"/>
            <w:vAlign w:val="center"/>
            <w:hideMark/>
          </w:tcPr>
          <w:p w:rsidR="00DD7E66"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理论</w:t>
            </w:r>
          </w:p>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学时</w:t>
            </w:r>
          </w:p>
        </w:tc>
        <w:tc>
          <w:tcPr>
            <w:tcW w:w="422" w:type="pct"/>
            <w:shd w:val="clear" w:color="auto" w:fill="auto"/>
            <w:vAlign w:val="center"/>
            <w:hideMark/>
          </w:tcPr>
          <w:p w:rsidR="00DD7E66"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实践</w:t>
            </w:r>
          </w:p>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学时</w:t>
            </w:r>
          </w:p>
        </w:tc>
        <w:tc>
          <w:tcPr>
            <w:tcW w:w="387" w:type="pct"/>
            <w:shd w:val="clear" w:color="auto" w:fill="auto"/>
            <w:vAlign w:val="center"/>
            <w:hideMark/>
          </w:tcPr>
          <w:p w:rsidR="00DD7E66"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开课</w:t>
            </w:r>
          </w:p>
          <w:p w:rsidR="00DD7E66" w:rsidRPr="000C4654" w:rsidRDefault="00DD7E66" w:rsidP="006C3F01">
            <w:pPr>
              <w:widowControl/>
              <w:jc w:val="center"/>
              <w:rPr>
                <w:rFonts w:asciiTheme="minorEastAsia" w:eastAsiaTheme="minorEastAsia" w:hAnsiTheme="minorEastAsia" w:cs="宋体"/>
                <w:b/>
                <w:bCs/>
                <w:kern w:val="0"/>
                <w:sz w:val="18"/>
                <w:szCs w:val="18"/>
              </w:rPr>
            </w:pPr>
            <w:r w:rsidRPr="000C4654">
              <w:rPr>
                <w:rFonts w:asciiTheme="minorEastAsia" w:eastAsiaTheme="minorEastAsia" w:hAnsiTheme="minorEastAsia" w:cs="宋体" w:hint="eastAsia"/>
                <w:b/>
                <w:bCs/>
                <w:kern w:val="0"/>
                <w:sz w:val="18"/>
                <w:szCs w:val="18"/>
              </w:rPr>
              <w:t>学期</w:t>
            </w:r>
          </w:p>
        </w:tc>
      </w:tr>
      <w:tr w:rsidR="00DD7E66" w:rsidRPr="000C4654" w:rsidTr="006C3F01">
        <w:trPr>
          <w:trHeight w:val="440"/>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金融学</w:t>
            </w:r>
          </w:p>
        </w:tc>
        <w:tc>
          <w:tcPr>
            <w:tcW w:w="573" w:type="pct"/>
            <w:shd w:val="clear" w:color="auto" w:fill="auto"/>
            <w:vAlign w:val="center"/>
          </w:tcPr>
          <w:p w:rsidR="00DD7E66" w:rsidRPr="00885762" w:rsidRDefault="00DD7E66" w:rsidP="006C3F01">
            <w:pPr>
              <w:widowControl/>
              <w:jc w:val="center"/>
              <w:rPr>
                <w:rFonts w:cs="宋体"/>
                <w:kern w:val="0"/>
                <w:sz w:val="20"/>
              </w:rPr>
            </w:pPr>
            <w:r w:rsidRPr="00885762">
              <w:rPr>
                <w:rFonts w:cs="宋体" w:hint="eastAsia"/>
                <w:kern w:val="0"/>
                <w:sz w:val="20"/>
              </w:rPr>
              <w:t>M303061B</w:t>
            </w:r>
          </w:p>
        </w:tc>
        <w:tc>
          <w:tcPr>
            <w:tcW w:w="557"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必修</w:t>
            </w:r>
          </w:p>
        </w:tc>
        <w:tc>
          <w:tcPr>
            <w:tcW w:w="504"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百分制</w:t>
            </w:r>
          </w:p>
        </w:tc>
        <w:tc>
          <w:tcPr>
            <w:tcW w:w="37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3</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48</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32</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16</w:t>
            </w:r>
          </w:p>
        </w:tc>
        <w:tc>
          <w:tcPr>
            <w:tcW w:w="387" w:type="pct"/>
            <w:shd w:val="clear" w:color="auto" w:fill="auto"/>
            <w:vAlign w:val="center"/>
          </w:tcPr>
          <w:p w:rsidR="00DD7E66" w:rsidRPr="00A259C3" w:rsidRDefault="00DD7E66" w:rsidP="006C3F01">
            <w:pPr>
              <w:widowControl/>
              <w:jc w:val="center"/>
              <w:rPr>
                <w:rFonts w:cs="宋体"/>
                <w:kern w:val="0"/>
                <w:sz w:val="20"/>
              </w:rPr>
            </w:pPr>
            <w:r>
              <w:rPr>
                <w:rFonts w:cs="宋体"/>
                <w:kern w:val="0"/>
                <w:sz w:val="20"/>
              </w:rPr>
              <w:t>1</w:t>
            </w:r>
          </w:p>
        </w:tc>
      </w:tr>
      <w:tr w:rsidR="00DD7E66" w:rsidRPr="000C4654" w:rsidTr="006C3F01">
        <w:trPr>
          <w:trHeight w:val="440"/>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金融科技学</w:t>
            </w:r>
          </w:p>
        </w:tc>
        <w:tc>
          <w:tcPr>
            <w:tcW w:w="573" w:type="pct"/>
            <w:shd w:val="clear" w:color="auto" w:fill="auto"/>
            <w:vAlign w:val="center"/>
          </w:tcPr>
          <w:p w:rsidR="00DD7E66" w:rsidRPr="00885762" w:rsidRDefault="00DD7E66" w:rsidP="006C3F01">
            <w:pPr>
              <w:widowControl/>
              <w:jc w:val="center"/>
              <w:rPr>
                <w:rFonts w:cs="宋体"/>
                <w:kern w:val="0"/>
                <w:sz w:val="20"/>
              </w:rPr>
            </w:pPr>
            <w:r w:rsidRPr="00885762">
              <w:rPr>
                <w:rFonts w:cs="宋体" w:hint="eastAsia"/>
                <w:kern w:val="0"/>
                <w:sz w:val="20"/>
              </w:rPr>
              <w:t>M303072B</w:t>
            </w:r>
          </w:p>
        </w:tc>
        <w:tc>
          <w:tcPr>
            <w:tcW w:w="557"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必修</w:t>
            </w:r>
          </w:p>
        </w:tc>
        <w:tc>
          <w:tcPr>
            <w:tcW w:w="504"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百分制</w:t>
            </w:r>
          </w:p>
        </w:tc>
        <w:tc>
          <w:tcPr>
            <w:tcW w:w="37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3</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48</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40</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8</w:t>
            </w:r>
          </w:p>
        </w:tc>
        <w:tc>
          <w:tcPr>
            <w:tcW w:w="387" w:type="pct"/>
            <w:shd w:val="clear" w:color="auto" w:fill="auto"/>
            <w:vAlign w:val="center"/>
          </w:tcPr>
          <w:p w:rsidR="00DD7E66" w:rsidRPr="00A259C3" w:rsidRDefault="00DD7E66" w:rsidP="006C3F01">
            <w:pPr>
              <w:widowControl/>
              <w:jc w:val="center"/>
              <w:rPr>
                <w:rFonts w:cs="宋体"/>
                <w:kern w:val="0"/>
                <w:sz w:val="20"/>
              </w:rPr>
            </w:pPr>
            <w:r>
              <w:rPr>
                <w:rFonts w:cs="宋体"/>
                <w:kern w:val="0"/>
                <w:sz w:val="20"/>
              </w:rPr>
              <w:t>1</w:t>
            </w:r>
          </w:p>
        </w:tc>
      </w:tr>
      <w:tr w:rsidR="00DD7E66" w:rsidRPr="000C4654" w:rsidTr="006C3F01">
        <w:trPr>
          <w:trHeight w:val="440"/>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公司金融</w:t>
            </w:r>
          </w:p>
        </w:tc>
        <w:tc>
          <w:tcPr>
            <w:tcW w:w="573" w:type="pct"/>
            <w:shd w:val="clear" w:color="auto" w:fill="auto"/>
            <w:vAlign w:val="center"/>
          </w:tcPr>
          <w:p w:rsidR="00DD7E66" w:rsidRPr="00885762" w:rsidRDefault="00DD7E66" w:rsidP="006C3F01">
            <w:pPr>
              <w:widowControl/>
              <w:jc w:val="center"/>
              <w:rPr>
                <w:rFonts w:cs="宋体"/>
                <w:kern w:val="0"/>
                <w:sz w:val="20"/>
              </w:rPr>
            </w:pPr>
            <w:r w:rsidRPr="00885762">
              <w:rPr>
                <w:rFonts w:cs="宋体" w:hint="eastAsia"/>
                <w:kern w:val="0"/>
                <w:sz w:val="20"/>
              </w:rPr>
              <w:t>M303062B</w:t>
            </w:r>
          </w:p>
        </w:tc>
        <w:tc>
          <w:tcPr>
            <w:tcW w:w="557"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必修</w:t>
            </w:r>
          </w:p>
        </w:tc>
        <w:tc>
          <w:tcPr>
            <w:tcW w:w="504" w:type="pct"/>
            <w:shd w:val="clear" w:color="auto" w:fill="auto"/>
            <w:vAlign w:val="center"/>
          </w:tcPr>
          <w:p w:rsidR="00DD7E66" w:rsidRPr="00A259C3" w:rsidRDefault="00DD7E66" w:rsidP="006C3F01">
            <w:pPr>
              <w:widowControl/>
              <w:jc w:val="center"/>
              <w:rPr>
                <w:rFonts w:cs="宋体"/>
                <w:kern w:val="0"/>
                <w:sz w:val="20"/>
              </w:rPr>
            </w:pPr>
            <w:r w:rsidRPr="00A259C3">
              <w:rPr>
                <w:rFonts w:cs="宋体" w:hint="eastAsia"/>
                <w:kern w:val="0"/>
                <w:sz w:val="20"/>
              </w:rPr>
              <w:t>百分制</w:t>
            </w:r>
          </w:p>
        </w:tc>
        <w:tc>
          <w:tcPr>
            <w:tcW w:w="37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3</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48</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32</w:t>
            </w:r>
          </w:p>
        </w:tc>
        <w:tc>
          <w:tcPr>
            <w:tcW w:w="422" w:type="pct"/>
            <w:shd w:val="clear" w:color="auto" w:fill="auto"/>
            <w:vAlign w:val="center"/>
          </w:tcPr>
          <w:p w:rsidR="00DD7E66" w:rsidRPr="00A259C3" w:rsidRDefault="00DD7E66" w:rsidP="006C3F01">
            <w:pPr>
              <w:widowControl/>
              <w:jc w:val="center"/>
              <w:rPr>
                <w:rFonts w:cs="宋体"/>
                <w:kern w:val="0"/>
                <w:sz w:val="20"/>
              </w:rPr>
            </w:pPr>
            <w:r w:rsidRPr="00A259C3">
              <w:rPr>
                <w:rFonts w:cs="宋体"/>
                <w:kern w:val="0"/>
                <w:sz w:val="20"/>
              </w:rPr>
              <w:t>16</w:t>
            </w:r>
          </w:p>
        </w:tc>
        <w:tc>
          <w:tcPr>
            <w:tcW w:w="387" w:type="pct"/>
            <w:shd w:val="clear" w:color="auto" w:fill="auto"/>
            <w:vAlign w:val="center"/>
          </w:tcPr>
          <w:p w:rsidR="00DD7E66" w:rsidRPr="00A259C3" w:rsidRDefault="00DD7E66" w:rsidP="006C3F01">
            <w:pPr>
              <w:widowControl/>
              <w:jc w:val="center"/>
              <w:rPr>
                <w:rFonts w:cs="宋体"/>
                <w:kern w:val="0"/>
                <w:sz w:val="20"/>
              </w:rPr>
            </w:pPr>
            <w:r>
              <w:rPr>
                <w:rFonts w:cs="宋体"/>
                <w:kern w:val="0"/>
                <w:sz w:val="20"/>
              </w:rPr>
              <w:t>2</w:t>
            </w:r>
          </w:p>
        </w:tc>
      </w:tr>
      <w:tr w:rsidR="00DD7E66" w:rsidRPr="000C4654" w:rsidTr="006C3F01">
        <w:trPr>
          <w:trHeight w:val="440"/>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hideMark/>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金融大数据分析</w:t>
            </w:r>
          </w:p>
        </w:tc>
        <w:tc>
          <w:tcPr>
            <w:tcW w:w="573" w:type="pct"/>
            <w:shd w:val="clear" w:color="auto" w:fill="auto"/>
            <w:vAlign w:val="center"/>
            <w:hideMark/>
          </w:tcPr>
          <w:p w:rsidR="00DD7E66" w:rsidRPr="00885762" w:rsidRDefault="00DD7E66" w:rsidP="006C3F01">
            <w:pPr>
              <w:widowControl/>
              <w:jc w:val="center"/>
              <w:rPr>
                <w:rFonts w:cs="宋体"/>
                <w:kern w:val="0"/>
                <w:sz w:val="20"/>
              </w:rPr>
            </w:pPr>
            <w:r w:rsidRPr="00885762">
              <w:rPr>
                <w:rFonts w:cs="宋体" w:hint="eastAsia"/>
                <w:kern w:val="0"/>
                <w:sz w:val="20"/>
              </w:rPr>
              <w:t>M303073B</w:t>
            </w:r>
          </w:p>
        </w:tc>
        <w:tc>
          <w:tcPr>
            <w:tcW w:w="557"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必修</w:t>
            </w:r>
          </w:p>
        </w:tc>
        <w:tc>
          <w:tcPr>
            <w:tcW w:w="504"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百分制</w:t>
            </w:r>
          </w:p>
        </w:tc>
        <w:tc>
          <w:tcPr>
            <w:tcW w:w="37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3</w:t>
            </w:r>
          </w:p>
        </w:tc>
        <w:tc>
          <w:tcPr>
            <w:tcW w:w="422" w:type="pct"/>
            <w:shd w:val="clear" w:color="auto" w:fill="auto"/>
            <w:vAlign w:val="center"/>
            <w:hideMark/>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48</w:t>
            </w:r>
          </w:p>
        </w:tc>
        <w:tc>
          <w:tcPr>
            <w:tcW w:w="422" w:type="pct"/>
            <w:shd w:val="clear" w:color="auto" w:fill="auto"/>
            <w:vAlign w:val="center"/>
            <w:hideMark/>
          </w:tcPr>
          <w:p w:rsidR="00DD7E66" w:rsidRDefault="00DD7E66" w:rsidP="006C3F01">
            <w:pPr>
              <w:widowControl/>
              <w:jc w:val="center"/>
              <w:rPr>
                <w:rFonts w:ascii="宋体" w:hAnsi="宋体" w:cs="宋体"/>
                <w:kern w:val="0"/>
                <w:sz w:val="20"/>
              </w:rPr>
            </w:pPr>
            <w:r>
              <w:rPr>
                <w:rFonts w:ascii="宋体" w:hAnsi="宋体" w:cs="宋体"/>
                <w:kern w:val="0"/>
                <w:sz w:val="20"/>
              </w:rPr>
              <w:t>32</w:t>
            </w:r>
          </w:p>
        </w:tc>
        <w:tc>
          <w:tcPr>
            <w:tcW w:w="422" w:type="pct"/>
            <w:shd w:val="clear" w:color="auto" w:fill="auto"/>
            <w:vAlign w:val="center"/>
            <w:hideMark/>
          </w:tcPr>
          <w:p w:rsidR="00DD7E66" w:rsidRDefault="00DD7E66" w:rsidP="006C3F01">
            <w:pPr>
              <w:widowControl/>
              <w:jc w:val="center"/>
              <w:rPr>
                <w:rFonts w:ascii="宋体" w:hAnsi="宋体" w:cs="宋体"/>
                <w:kern w:val="0"/>
                <w:sz w:val="20"/>
              </w:rPr>
            </w:pPr>
            <w:r>
              <w:rPr>
                <w:rFonts w:ascii="宋体" w:hAnsi="宋体" w:cs="宋体"/>
                <w:kern w:val="0"/>
                <w:sz w:val="20"/>
              </w:rPr>
              <w:t>16</w:t>
            </w:r>
          </w:p>
        </w:tc>
        <w:tc>
          <w:tcPr>
            <w:tcW w:w="387" w:type="pct"/>
            <w:shd w:val="clear" w:color="auto" w:fill="auto"/>
            <w:vAlign w:val="center"/>
            <w:hideMark/>
          </w:tcPr>
          <w:p w:rsidR="00DD7E66" w:rsidRDefault="00DD7E66" w:rsidP="006C3F01">
            <w:pPr>
              <w:widowControl/>
              <w:jc w:val="center"/>
              <w:rPr>
                <w:rFonts w:ascii="宋体" w:hAnsi="宋体" w:cs="宋体"/>
                <w:kern w:val="0"/>
                <w:sz w:val="20"/>
              </w:rPr>
            </w:pPr>
            <w:r>
              <w:rPr>
                <w:rFonts w:ascii="宋体" w:hAnsi="宋体" w:cs="宋体"/>
                <w:kern w:val="0"/>
                <w:sz w:val="20"/>
              </w:rPr>
              <w:t>2</w:t>
            </w:r>
          </w:p>
        </w:tc>
      </w:tr>
      <w:tr w:rsidR="00DD7E66" w:rsidRPr="000C4654" w:rsidTr="006C3F01">
        <w:trPr>
          <w:trHeight w:val="440"/>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lastRenderedPageBreak/>
              <w:t>专业核心</w:t>
            </w:r>
            <w:r>
              <w:rPr>
                <w:rFonts w:cs="宋体"/>
                <w:kern w:val="0"/>
                <w:sz w:val="20"/>
              </w:rPr>
              <w:t>必修课</w:t>
            </w:r>
          </w:p>
        </w:tc>
        <w:tc>
          <w:tcPr>
            <w:tcW w:w="71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金融工程</w:t>
            </w:r>
          </w:p>
        </w:tc>
        <w:tc>
          <w:tcPr>
            <w:tcW w:w="573" w:type="pct"/>
            <w:shd w:val="clear" w:color="auto" w:fill="auto"/>
            <w:vAlign w:val="center"/>
          </w:tcPr>
          <w:p w:rsidR="00DD7E66" w:rsidRPr="00885762" w:rsidRDefault="00DD7E66" w:rsidP="006C3F01">
            <w:pPr>
              <w:widowControl/>
              <w:jc w:val="center"/>
              <w:rPr>
                <w:rFonts w:cs="宋体"/>
                <w:kern w:val="0"/>
                <w:sz w:val="20"/>
              </w:rPr>
            </w:pPr>
            <w:r w:rsidRPr="00885762">
              <w:rPr>
                <w:rFonts w:cs="宋体" w:hint="eastAsia"/>
                <w:kern w:val="0"/>
                <w:sz w:val="20"/>
              </w:rPr>
              <w:t>M303066B</w:t>
            </w:r>
          </w:p>
        </w:tc>
        <w:tc>
          <w:tcPr>
            <w:tcW w:w="557"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必修</w:t>
            </w:r>
          </w:p>
        </w:tc>
        <w:tc>
          <w:tcPr>
            <w:tcW w:w="504"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百分制</w:t>
            </w:r>
          </w:p>
        </w:tc>
        <w:tc>
          <w:tcPr>
            <w:tcW w:w="37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3</w:t>
            </w:r>
          </w:p>
        </w:tc>
        <w:tc>
          <w:tcPr>
            <w:tcW w:w="42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48</w:t>
            </w:r>
          </w:p>
        </w:tc>
        <w:tc>
          <w:tcPr>
            <w:tcW w:w="422"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32</w:t>
            </w:r>
          </w:p>
        </w:tc>
        <w:tc>
          <w:tcPr>
            <w:tcW w:w="422"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16</w:t>
            </w:r>
          </w:p>
        </w:tc>
        <w:tc>
          <w:tcPr>
            <w:tcW w:w="387"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2</w:t>
            </w:r>
          </w:p>
        </w:tc>
      </w:tr>
      <w:tr w:rsidR="00DD7E66" w:rsidRPr="000C4654" w:rsidTr="006C3F01">
        <w:trPr>
          <w:trHeight w:val="403"/>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hideMark/>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金融风险管理</w:t>
            </w:r>
          </w:p>
        </w:tc>
        <w:tc>
          <w:tcPr>
            <w:tcW w:w="573" w:type="pct"/>
            <w:shd w:val="clear" w:color="auto" w:fill="auto"/>
            <w:vAlign w:val="center"/>
            <w:hideMark/>
          </w:tcPr>
          <w:p w:rsidR="00DD7E66" w:rsidRPr="00885762" w:rsidRDefault="00DD7E66" w:rsidP="006C3F01">
            <w:pPr>
              <w:widowControl/>
              <w:jc w:val="center"/>
              <w:rPr>
                <w:rFonts w:cs="宋体"/>
                <w:kern w:val="0"/>
                <w:sz w:val="20"/>
              </w:rPr>
            </w:pPr>
            <w:r w:rsidRPr="00885762">
              <w:rPr>
                <w:rFonts w:cs="宋体" w:hint="eastAsia"/>
                <w:kern w:val="0"/>
                <w:sz w:val="20"/>
              </w:rPr>
              <w:t>M303068B</w:t>
            </w:r>
          </w:p>
        </w:tc>
        <w:tc>
          <w:tcPr>
            <w:tcW w:w="557"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必修</w:t>
            </w:r>
          </w:p>
        </w:tc>
        <w:tc>
          <w:tcPr>
            <w:tcW w:w="504"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百分制</w:t>
            </w:r>
          </w:p>
        </w:tc>
        <w:tc>
          <w:tcPr>
            <w:tcW w:w="37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3</w:t>
            </w:r>
          </w:p>
        </w:tc>
        <w:tc>
          <w:tcPr>
            <w:tcW w:w="422" w:type="pct"/>
            <w:shd w:val="clear" w:color="auto" w:fill="auto"/>
            <w:vAlign w:val="center"/>
            <w:hideMark/>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48</w:t>
            </w:r>
          </w:p>
        </w:tc>
        <w:tc>
          <w:tcPr>
            <w:tcW w:w="422" w:type="pct"/>
            <w:shd w:val="clear" w:color="auto" w:fill="auto"/>
            <w:vAlign w:val="center"/>
            <w:hideMark/>
          </w:tcPr>
          <w:p w:rsidR="00DD7E66" w:rsidRDefault="00DD7E66" w:rsidP="006C3F01">
            <w:pPr>
              <w:widowControl/>
              <w:jc w:val="center"/>
              <w:rPr>
                <w:rFonts w:ascii="宋体" w:hAnsi="宋体" w:cs="宋体"/>
                <w:kern w:val="0"/>
                <w:sz w:val="20"/>
              </w:rPr>
            </w:pPr>
            <w:r>
              <w:rPr>
                <w:rFonts w:ascii="宋体" w:hAnsi="宋体" w:cs="宋体"/>
                <w:kern w:val="0"/>
                <w:sz w:val="20"/>
              </w:rPr>
              <w:t>32</w:t>
            </w:r>
          </w:p>
        </w:tc>
        <w:tc>
          <w:tcPr>
            <w:tcW w:w="422" w:type="pct"/>
            <w:shd w:val="clear" w:color="auto" w:fill="auto"/>
            <w:vAlign w:val="center"/>
            <w:hideMark/>
          </w:tcPr>
          <w:p w:rsidR="00DD7E66" w:rsidRDefault="00DD7E66" w:rsidP="006C3F01">
            <w:pPr>
              <w:widowControl/>
              <w:jc w:val="center"/>
              <w:rPr>
                <w:rFonts w:ascii="宋体" w:hAnsi="宋体" w:cs="宋体"/>
                <w:kern w:val="0"/>
                <w:sz w:val="20"/>
              </w:rPr>
            </w:pPr>
            <w:r>
              <w:rPr>
                <w:rFonts w:ascii="宋体" w:hAnsi="宋体" w:cs="宋体"/>
                <w:kern w:val="0"/>
                <w:sz w:val="20"/>
              </w:rPr>
              <w:t>16</w:t>
            </w:r>
          </w:p>
        </w:tc>
        <w:tc>
          <w:tcPr>
            <w:tcW w:w="387" w:type="pct"/>
            <w:shd w:val="clear" w:color="auto" w:fill="auto"/>
            <w:vAlign w:val="center"/>
            <w:hideMark/>
          </w:tcPr>
          <w:p w:rsidR="00DD7E66" w:rsidRDefault="00DD7E66" w:rsidP="006C3F01">
            <w:pPr>
              <w:widowControl/>
              <w:jc w:val="center"/>
              <w:rPr>
                <w:rFonts w:ascii="宋体" w:hAnsi="宋体" w:cs="宋体"/>
                <w:kern w:val="0"/>
                <w:sz w:val="20"/>
              </w:rPr>
            </w:pPr>
            <w:r>
              <w:rPr>
                <w:rFonts w:ascii="宋体" w:hAnsi="宋体" w:cs="宋体"/>
                <w:kern w:val="0"/>
                <w:sz w:val="20"/>
              </w:rPr>
              <w:t>3</w:t>
            </w:r>
          </w:p>
        </w:tc>
      </w:tr>
      <w:tr w:rsidR="00DD7E66" w:rsidRPr="000C4654" w:rsidTr="006C3F01">
        <w:trPr>
          <w:trHeight w:val="403"/>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人工智能原理与金融应用</w:t>
            </w:r>
          </w:p>
        </w:tc>
        <w:tc>
          <w:tcPr>
            <w:tcW w:w="573" w:type="pct"/>
            <w:shd w:val="clear" w:color="auto" w:fill="auto"/>
            <w:vAlign w:val="center"/>
          </w:tcPr>
          <w:p w:rsidR="00DD7E66" w:rsidRPr="00885762" w:rsidRDefault="00DD7E66" w:rsidP="006C3F01">
            <w:pPr>
              <w:widowControl/>
              <w:jc w:val="center"/>
              <w:rPr>
                <w:rFonts w:cs="宋体"/>
                <w:kern w:val="0"/>
                <w:sz w:val="20"/>
              </w:rPr>
            </w:pPr>
            <w:r w:rsidRPr="00885762">
              <w:rPr>
                <w:rFonts w:cs="宋体" w:hint="eastAsia"/>
                <w:kern w:val="0"/>
                <w:sz w:val="20"/>
              </w:rPr>
              <w:t>M303074B</w:t>
            </w:r>
          </w:p>
        </w:tc>
        <w:tc>
          <w:tcPr>
            <w:tcW w:w="557"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必修</w:t>
            </w:r>
          </w:p>
        </w:tc>
        <w:tc>
          <w:tcPr>
            <w:tcW w:w="504"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百分制</w:t>
            </w:r>
          </w:p>
        </w:tc>
        <w:tc>
          <w:tcPr>
            <w:tcW w:w="37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3</w:t>
            </w:r>
          </w:p>
        </w:tc>
        <w:tc>
          <w:tcPr>
            <w:tcW w:w="42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48</w:t>
            </w:r>
          </w:p>
        </w:tc>
        <w:tc>
          <w:tcPr>
            <w:tcW w:w="422"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hint="eastAsia"/>
                <w:kern w:val="0"/>
                <w:sz w:val="20"/>
              </w:rPr>
              <w:t>32</w:t>
            </w:r>
          </w:p>
        </w:tc>
        <w:tc>
          <w:tcPr>
            <w:tcW w:w="422"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16</w:t>
            </w:r>
          </w:p>
        </w:tc>
        <w:tc>
          <w:tcPr>
            <w:tcW w:w="387"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3</w:t>
            </w:r>
          </w:p>
        </w:tc>
      </w:tr>
      <w:tr w:rsidR="00DD7E66" w:rsidRPr="000C4654" w:rsidTr="006C3F01">
        <w:trPr>
          <w:trHeight w:val="409"/>
        </w:trPr>
        <w:tc>
          <w:tcPr>
            <w:tcW w:w="629" w:type="pct"/>
            <w:shd w:val="clear" w:color="auto" w:fill="auto"/>
            <w:vAlign w:val="center"/>
          </w:tcPr>
          <w:p w:rsidR="00DD7E66" w:rsidRPr="00A259C3" w:rsidRDefault="00DD7E66" w:rsidP="006C3F01">
            <w:pPr>
              <w:widowControl/>
              <w:jc w:val="center"/>
              <w:rPr>
                <w:rFonts w:cs="宋体"/>
                <w:kern w:val="0"/>
                <w:sz w:val="20"/>
              </w:rPr>
            </w:pPr>
            <w:r>
              <w:rPr>
                <w:rFonts w:cs="宋体" w:hint="eastAsia"/>
                <w:kern w:val="0"/>
                <w:sz w:val="20"/>
              </w:rPr>
              <w:t>专业核心</w:t>
            </w:r>
            <w:r>
              <w:rPr>
                <w:rFonts w:cs="宋体"/>
                <w:kern w:val="0"/>
                <w:sz w:val="20"/>
              </w:rPr>
              <w:t>必修课</w:t>
            </w:r>
          </w:p>
        </w:tc>
        <w:tc>
          <w:tcPr>
            <w:tcW w:w="71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量化投资</w:t>
            </w:r>
          </w:p>
        </w:tc>
        <w:tc>
          <w:tcPr>
            <w:tcW w:w="573" w:type="pct"/>
            <w:shd w:val="clear" w:color="auto" w:fill="auto"/>
            <w:vAlign w:val="center"/>
          </w:tcPr>
          <w:p w:rsidR="00DD7E66" w:rsidRPr="00885762" w:rsidRDefault="00DD7E66" w:rsidP="006C3F01">
            <w:pPr>
              <w:widowControl/>
              <w:jc w:val="center"/>
              <w:rPr>
                <w:rFonts w:cs="宋体"/>
                <w:kern w:val="0"/>
                <w:sz w:val="20"/>
              </w:rPr>
            </w:pPr>
            <w:r w:rsidRPr="00885762">
              <w:rPr>
                <w:rFonts w:cs="宋体" w:hint="eastAsia"/>
                <w:kern w:val="0"/>
                <w:sz w:val="20"/>
              </w:rPr>
              <w:t>M403075B</w:t>
            </w:r>
          </w:p>
        </w:tc>
        <w:tc>
          <w:tcPr>
            <w:tcW w:w="557"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选修</w:t>
            </w:r>
          </w:p>
        </w:tc>
        <w:tc>
          <w:tcPr>
            <w:tcW w:w="504"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hint="eastAsia"/>
                <w:kern w:val="0"/>
                <w:sz w:val="20"/>
              </w:rPr>
              <w:t>百分制</w:t>
            </w:r>
          </w:p>
        </w:tc>
        <w:tc>
          <w:tcPr>
            <w:tcW w:w="37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2</w:t>
            </w:r>
          </w:p>
        </w:tc>
        <w:tc>
          <w:tcPr>
            <w:tcW w:w="422" w:type="pct"/>
            <w:shd w:val="clear" w:color="auto" w:fill="auto"/>
            <w:vAlign w:val="center"/>
          </w:tcPr>
          <w:p w:rsidR="00DD7E66" w:rsidRPr="00885762" w:rsidRDefault="00DD7E66" w:rsidP="006C3F01">
            <w:pPr>
              <w:widowControl/>
              <w:jc w:val="center"/>
              <w:rPr>
                <w:rFonts w:ascii="Times New Roman" w:hAnsi="Times New Roman" w:cs="宋体"/>
                <w:kern w:val="0"/>
                <w:sz w:val="20"/>
              </w:rPr>
            </w:pPr>
            <w:r w:rsidRPr="00885762">
              <w:rPr>
                <w:rFonts w:ascii="Times New Roman" w:hAnsi="Times New Roman" w:cs="宋体"/>
                <w:kern w:val="0"/>
                <w:sz w:val="20"/>
              </w:rPr>
              <w:t>32</w:t>
            </w:r>
          </w:p>
        </w:tc>
        <w:tc>
          <w:tcPr>
            <w:tcW w:w="422"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28</w:t>
            </w:r>
          </w:p>
        </w:tc>
        <w:tc>
          <w:tcPr>
            <w:tcW w:w="422"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kern w:val="0"/>
                <w:sz w:val="20"/>
              </w:rPr>
              <w:t>4</w:t>
            </w:r>
          </w:p>
        </w:tc>
        <w:tc>
          <w:tcPr>
            <w:tcW w:w="387" w:type="pct"/>
            <w:shd w:val="clear" w:color="auto" w:fill="auto"/>
            <w:vAlign w:val="center"/>
          </w:tcPr>
          <w:p w:rsidR="00DD7E66" w:rsidRDefault="00DD7E66" w:rsidP="006C3F01">
            <w:pPr>
              <w:widowControl/>
              <w:jc w:val="center"/>
              <w:rPr>
                <w:rFonts w:ascii="宋体" w:hAnsi="宋体" w:cs="宋体"/>
                <w:kern w:val="0"/>
                <w:sz w:val="20"/>
              </w:rPr>
            </w:pPr>
            <w:r>
              <w:rPr>
                <w:rFonts w:ascii="宋体" w:hAnsi="宋体" w:cs="宋体" w:hint="eastAsia"/>
                <w:kern w:val="0"/>
                <w:sz w:val="20"/>
              </w:rPr>
              <w:t>3</w:t>
            </w:r>
          </w:p>
        </w:tc>
      </w:tr>
    </w:tbl>
    <w:p w:rsidR="00DD7E66" w:rsidRPr="000C4654" w:rsidRDefault="00DD7E66" w:rsidP="00DD7E66">
      <w:pPr>
        <w:ind w:right="140"/>
        <w:jc w:val="center"/>
        <w:rPr>
          <w:rFonts w:ascii="宋体" w:hAnsi="宋体"/>
          <w:sz w:val="24"/>
        </w:rPr>
      </w:pPr>
    </w:p>
    <w:p w:rsidR="00DD7E66" w:rsidRPr="00E01534" w:rsidRDefault="00DD7E66" w:rsidP="00DD7E66">
      <w:pPr>
        <w:pStyle w:val="a9"/>
        <w:spacing w:line="300" w:lineRule="auto"/>
        <w:outlineLvl w:val="0"/>
        <w:rPr>
          <w:rFonts w:ascii="黑体" w:eastAsia="黑体"/>
        </w:rPr>
      </w:pPr>
      <w:r w:rsidRPr="00E01534">
        <w:rPr>
          <w:rFonts w:ascii="黑体" w:eastAsia="黑体" w:hint="eastAsia"/>
        </w:rPr>
        <w:t>附：课程简介</w:t>
      </w:r>
    </w:p>
    <w:p w:rsidR="00DD7E66" w:rsidRPr="00885762" w:rsidRDefault="00DD7E66" w:rsidP="00DD7E66">
      <w:pPr>
        <w:pStyle w:val="a9"/>
        <w:spacing w:line="300" w:lineRule="auto"/>
        <w:rPr>
          <w:rFonts w:ascii="宋体" w:hAnsi="宋体"/>
          <w:szCs w:val="21"/>
        </w:rPr>
      </w:pPr>
      <w:r w:rsidRPr="00885762">
        <w:rPr>
          <w:rFonts w:ascii="宋体" w:hAnsi="宋体" w:hint="eastAsia"/>
          <w:szCs w:val="21"/>
        </w:rPr>
        <w:t xml:space="preserve">1.金融学 </w:t>
      </w:r>
    </w:p>
    <w:p w:rsidR="00DD7E66" w:rsidRPr="00DD7E66"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是为经济管理学院金融学本科生开设的学科门类基础课程之一，也是实施研究性教学的主干课程。教学任务是使学生在熟知现代经济环境下，以货币、银行和金融市场为中心，以各种金融活动、金融体系、金融运行为基础的经济活动，并掌握货币的性质和作用、金融机构和金融市场、银行业结构及监管、货币理论及货币政策的主要内容。在此基础上，要求学生能够运用其掌握的金融学基本理论、原理与方法，理解当前国家的金融政策动态，实证分析金融政策效果。本课程教学内容主要有货币与货币制度、信用与利率、金融市场、金融中介体系、商业银行、中央银行、货币理论、货币政策及金融理论等。</w:t>
      </w:r>
    </w:p>
    <w:p w:rsidR="00DD7E66" w:rsidRPr="00885762" w:rsidRDefault="00DD7E66" w:rsidP="00DD7E66">
      <w:pPr>
        <w:pStyle w:val="a9"/>
        <w:spacing w:line="300" w:lineRule="auto"/>
        <w:rPr>
          <w:rFonts w:ascii="宋体" w:hAnsi="宋体"/>
          <w:szCs w:val="21"/>
        </w:rPr>
      </w:pPr>
      <w:r w:rsidRPr="00885762">
        <w:rPr>
          <w:rFonts w:ascii="宋体" w:hAnsi="宋体"/>
          <w:szCs w:val="21"/>
        </w:rPr>
        <w:t>2.</w:t>
      </w:r>
      <w:r w:rsidRPr="00885762">
        <w:rPr>
          <w:rFonts w:ascii="宋体" w:hAnsi="宋体" w:hint="eastAsia"/>
          <w:szCs w:val="21"/>
        </w:rPr>
        <w:t>金融科技学</w:t>
      </w:r>
    </w:p>
    <w:p w:rsidR="00DD7E66" w:rsidRPr="00885762"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是一门跨学科的课程，旨在帮助学生深入理解金融科技的基本概念、应用领域、技术架构以及监管政策等方面的知识。本课程将围绕大数据、区块链、人工智能等前沿技术展开，关注解决金融实际问题。教学方法包括课堂讲授、网上教学、专题报告和案例讨论，旨在帮助学生掌握金融科技的核心技术和应用。</w:t>
      </w:r>
    </w:p>
    <w:p w:rsidR="00DD7E66" w:rsidRPr="00885762"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3. 公司</w:t>
      </w:r>
      <w:r w:rsidRPr="00885762">
        <w:rPr>
          <w:rFonts w:cs="Times New Roman"/>
          <w:sz w:val="21"/>
          <w:lang w:val="en-US"/>
        </w:rPr>
        <w:t>金融</w:t>
      </w:r>
    </w:p>
    <w:p w:rsidR="00DD7E66" w:rsidRPr="00DD7E66"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本课程具有较强的理论性和实践应用性。课程</w:t>
      </w:r>
      <w:r w:rsidRPr="00885762">
        <w:rPr>
          <w:rFonts w:cs="Times New Roman"/>
          <w:sz w:val="21"/>
          <w:lang w:val="en-US"/>
        </w:rPr>
        <w:t>研究公司与金融市场</w:t>
      </w:r>
      <w:r w:rsidRPr="00885762">
        <w:rPr>
          <w:rFonts w:cs="Times New Roman" w:hint="eastAsia"/>
          <w:sz w:val="21"/>
          <w:lang w:val="en-US"/>
        </w:rPr>
        <w:t>的</w:t>
      </w:r>
      <w:r w:rsidRPr="00885762">
        <w:rPr>
          <w:rFonts w:cs="Times New Roman"/>
          <w:sz w:val="21"/>
          <w:lang w:val="en-US"/>
        </w:rPr>
        <w:t>关系</w:t>
      </w:r>
      <w:r w:rsidRPr="00885762">
        <w:rPr>
          <w:rFonts w:cs="Times New Roman" w:hint="eastAsia"/>
          <w:sz w:val="21"/>
          <w:lang w:val="en-US"/>
        </w:rPr>
        <w:t>。主要</w:t>
      </w:r>
      <w:r w:rsidRPr="00885762">
        <w:rPr>
          <w:rFonts w:cs="Times New Roman"/>
          <w:sz w:val="21"/>
          <w:lang w:val="en-US"/>
        </w:rPr>
        <w:t>讲解公司的组织形式、公司的委托代理</w:t>
      </w:r>
      <w:r w:rsidRPr="00885762">
        <w:rPr>
          <w:rFonts w:cs="Times New Roman" w:hint="eastAsia"/>
          <w:sz w:val="21"/>
          <w:lang w:val="en-US"/>
        </w:rPr>
        <w:t>与代理</w:t>
      </w:r>
      <w:r w:rsidRPr="00885762">
        <w:rPr>
          <w:rFonts w:cs="Times New Roman"/>
          <w:sz w:val="21"/>
          <w:lang w:val="en-US"/>
        </w:rPr>
        <w:t>问题、公司的金融目标</w:t>
      </w:r>
      <w:r w:rsidRPr="00885762">
        <w:rPr>
          <w:rFonts w:cs="Times New Roman" w:hint="eastAsia"/>
          <w:sz w:val="21"/>
          <w:lang w:val="en-US"/>
        </w:rPr>
        <w:t>，</w:t>
      </w:r>
      <w:r w:rsidRPr="00885762">
        <w:rPr>
          <w:rFonts w:cs="Times New Roman"/>
          <w:sz w:val="21"/>
          <w:lang w:val="en-US"/>
        </w:rPr>
        <w:t>货币时间价值和折现现金流的计算，债券、股票的估值模型与投资项目的多种评价方法</w:t>
      </w:r>
      <w:r w:rsidRPr="00885762">
        <w:rPr>
          <w:rFonts w:cs="Times New Roman" w:hint="eastAsia"/>
          <w:sz w:val="21"/>
          <w:lang w:val="en-US"/>
        </w:rPr>
        <w:t>，</w:t>
      </w:r>
      <w:r w:rsidRPr="00885762">
        <w:rPr>
          <w:rFonts w:cs="Times New Roman"/>
          <w:sz w:val="21"/>
          <w:lang w:val="en-US"/>
        </w:rPr>
        <w:t>公司的主要金融</w:t>
      </w:r>
      <w:r w:rsidRPr="00885762">
        <w:rPr>
          <w:rFonts w:cs="Times New Roman" w:hint="eastAsia"/>
          <w:sz w:val="21"/>
          <w:lang w:val="en-US"/>
        </w:rPr>
        <w:t>的三大决策</w:t>
      </w:r>
      <w:r w:rsidRPr="00885762">
        <w:rPr>
          <w:rFonts w:cs="Times New Roman"/>
          <w:sz w:val="21"/>
          <w:lang w:val="en-US"/>
        </w:rPr>
        <w:t>，包括投资决策、筹资决策、股利分配决策</w:t>
      </w:r>
      <w:r w:rsidRPr="00885762">
        <w:rPr>
          <w:rFonts w:cs="Times New Roman" w:hint="eastAsia"/>
          <w:sz w:val="21"/>
          <w:lang w:val="en-US"/>
        </w:rPr>
        <w:t>的理论与方法，</w:t>
      </w:r>
      <w:r w:rsidRPr="00885762">
        <w:rPr>
          <w:rFonts w:cs="Times New Roman"/>
          <w:sz w:val="21"/>
          <w:lang w:val="en-US"/>
        </w:rPr>
        <w:t>以及如何通过这三大决策实现公司价值最大化目标的过程</w:t>
      </w:r>
      <w:r w:rsidRPr="00885762">
        <w:rPr>
          <w:rFonts w:cs="Times New Roman" w:hint="eastAsia"/>
          <w:sz w:val="21"/>
          <w:lang w:val="en-US"/>
        </w:rPr>
        <w:t>。通过课堂教学、专项研究、案列分析、文献阅读等环节培养学生的创新意识与能力和公司金融理论与实务的应用能力，使学生掌握公司金融的基</w:t>
      </w:r>
      <w:r w:rsidRPr="00885762">
        <w:rPr>
          <w:rFonts w:cs="Times New Roman" w:hint="eastAsia"/>
          <w:sz w:val="21"/>
          <w:lang w:val="en-US"/>
        </w:rPr>
        <w:lastRenderedPageBreak/>
        <w:t>本理论、基本知识和基本技能，具有基本的解决公司金融实务方案的思想方法与设计、分析能力。</w:t>
      </w:r>
    </w:p>
    <w:p w:rsidR="00DD7E66" w:rsidRPr="00885762" w:rsidRDefault="00DD7E66" w:rsidP="00DD7E66">
      <w:pPr>
        <w:rPr>
          <w:rFonts w:ascii="宋体" w:hAnsi="宋体"/>
        </w:rPr>
      </w:pPr>
      <w:r w:rsidRPr="00885762">
        <w:rPr>
          <w:rFonts w:ascii="宋体" w:hAnsi="宋体" w:hint="eastAsia"/>
        </w:rPr>
        <w:t>4. 金融大数据</w:t>
      </w:r>
      <w:r w:rsidRPr="00885762">
        <w:rPr>
          <w:rFonts w:ascii="宋体" w:hAnsi="宋体"/>
        </w:rPr>
        <w:t>分析</w:t>
      </w:r>
    </w:p>
    <w:p w:rsidR="00DD7E66" w:rsidRPr="00885762"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旨在帮助学生掌握金融大数据分析的基本原理和方法，提升数据处理与分析能力。通过学习金融大数据概述、金融大数据分析基础知识、金融大数据分析方法等内容，学生将能够运用这些方法和模型对金融理论和实际问题进行实证研究。课程注重培养学生的问题发现、分析和解决能力，使其掌握科学的世界观和方法论。知识单元包括金融大数据与预测策略、金融大数据与量化金融风险、金融大数据分析与投资决策等。教学方法综合了课堂讲授、专题研究和实验教学，旨在培养学生的创新精神和实践能力。</w:t>
      </w:r>
    </w:p>
    <w:p w:rsidR="00DD7E66" w:rsidRPr="00885762"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5. 金融</w:t>
      </w:r>
      <w:r w:rsidRPr="00885762">
        <w:rPr>
          <w:rFonts w:cs="Times New Roman"/>
          <w:sz w:val="21"/>
          <w:lang w:val="en-US"/>
        </w:rPr>
        <w:t>风险管理</w:t>
      </w:r>
    </w:p>
    <w:p w:rsidR="00DD7E66" w:rsidRPr="00DD7E66"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为金融学专业核心必修课程，是一门应用性和前沿性较强的课程。其教学目标是使学生全面了解金融机构所面临的风险，形成对金融风险管理原理及风险管理方法发展的总体认识。内容主要介绍金融风险管理的基础理论和监管，商业银行风险资本与巴塞尔协议的要求，各种金融风险的基本特征和度量模型，具体包括利率风险、信用风险、流动性风险、市场风险、操作风险和表外业务风险，并对</w:t>
      </w:r>
      <w:r w:rsidRPr="00885762">
        <w:rPr>
          <w:rFonts w:cs="Times New Roman"/>
          <w:sz w:val="21"/>
          <w:lang w:val="en-US"/>
        </w:rPr>
        <w:t>VAR</w:t>
      </w:r>
      <w:r w:rsidRPr="00885762">
        <w:rPr>
          <w:rFonts w:cs="Times New Roman" w:hint="eastAsia"/>
          <w:sz w:val="21"/>
          <w:lang w:val="en-US"/>
        </w:rPr>
        <w:t>模型、</w:t>
      </w:r>
      <w:r w:rsidRPr="00885762">
        <w:rPr>
          <w:rFonts w:cs="Times New Roman"/>
          <w:sz w:val="21"/>
          <w:lang w:val="en-US"/>
        </w:rPr>
        <w:t>CreditMetrics</w:t>
      </w:r>
      <w:r w:rsidRPr="00885762">
        <w:rPr>
          <w:rFonts w:cs="Times New Roman" w:hint="eastAsia"/>
          <w:sz w:val="21"/>
          <w:lang w:val="en-US"/>
        </w:rPr>
        <w:t>模型、</w:t>
      </w:r>
      <w:r w:rsidRPr="00885762">
        <w:rPr>
          <w:rFonts w:cs="Times New Roman"/>
          <w:sz w:val="21"/>
          <w:lang w:val="en-US"/>
        </w:rPr>
        <w:t>KMV</w:t>
      </w:r>
      <w:r w:rsidRPr="00885762">
        <w:rPr>
          <w:rFonts w:cs="Times New Roman" w:hint="eastAsia"/>
          <w:sz w:val="21"/>
          <w:lang w:val="en-US"/>
        </w:rPr>
        <w:t>模型等现代金融风险管理工具进行详细介绍。此外，学习该课程也有助于学生参加金融风险管理师（FRM）等考试。</w:t>
      </w:r>
    </w:p>
    <w:p w:rsidR="00DD7E66" w:rsidRPr="00885762" w:rsidRDefault="00DD7E66" w:rsidP="00DD7E66">
      <w:pPr>
        <w:snapToGrid w:val="0"/>
        <w:spacing w:line="400" w:lineRule="exact"/>
        <w:ind w:firstLine="420"/>
        <w:rPr>
          <w:rFonts w:ascii="宋体" w:hAnsi="宋体" w:cs="宋体"/>
          <w:kern w:val="0"/>
          <w:sz w:val="20"/>
        </w:rPr>
      </w:pPr>
      <w:r w:rsidRPr="00885762">
        <w:rPr>
          <w:rFonts w:ascii="宋体" w:hAnsi="宋体" w:hint="eastAsia"/>
          <w:color w:val="000000"/>
          <w:szCs w:val="21"/>
        </w:rPr>
        <w:t xml:space="preserve">6. </w:t>
      </w:r>
      <w:r w:rsidRPr="00885762">
        <w:rPr>
          <w:rFonts w:ascii="宋体" w:hAnsi="宋体" w:cs="宋体" w:hint="eastAsia"/>
          <w:kern w:val="0"/>
          <w:sz w:val="20"/>
        </w:rPr>
        <w:t>人工智能原理与金融应用</w:t>
      </w:r>
    </w:p>
    <w:p w:rsidR="00DD7E66" w:rsidRPr="00DD7E66"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旨在帮助学生深入理解人工智能和机器学习的基础理论、主要算法及其在金融领域的广泛应用。课程内容涵盖了人工智能的发展历史、线性模型、树方法、神经网络、非结构化数据处理等基础知识，强调在金融数据分析、风险管理、市场预测和投资组合优化等方面的应用。通过本课程的学习，学生将掌握关键的机器学习算法和工具，能够分析和设计解决方案，熟练处理各种结构化和非结构化数据，在真实金融情境中解决复杂问题。</w:t>
      </w:r>
    </w:p>
    <w:p w:rsidR="00DD7E66" w:rsidRPr="00885762" w:rsidRDefault="00DD7E66" w:rsidP="00DD7E66">
      <w:pPr>
        <w:snapToGrid w:val="0"/>
        <w:spacing w:line="400" w:lineRule="exact"/>
        <w:ind w:firstLine="420"/>
        <w:rPr>
          <w:rFonts w:ascii="宋体" w:hAnsi="宋体"/>
          <w:color w:val="000000"/>
          <w:szCs w:val="21"/>
        </w:rPr>
      </w:pPr>
      <w:r w:rsidRPr="00885762">
        <w:rPr>
          <w:rFonts w:ascii="宋体" w:hAnsi="宋体" w:hint="eastAsia"/>
          <w:color w:val="000000"/>
          <w:szCs w:val="21"/>
        </w:rPr>
        <w:t>7. 金融</w:t>
      </w:r>
      <w:r w:rsidRPr="00885762">
        <w:rPr>
          <w:rFonts w:ascii="宋体" w:hAnsi="宋体"/>
          <w:color w:val="000000"/>
          <w:szCs w:val="21"/>
        </w:rPr>
        <w:t>工程</w:t>
      </w:r>
    </w:p>
    <w:p w:rsidR="00DD7E66" w:rsidRPr="00DD7E66"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w:t>
      </w:r>
      <w:r w:rsidRPr="00885762">
        <w:rPr>
          <w:rFonts w:cs="Times New Roman"/>
          <w:sz w:val="21"/>
          <w:lang w:val="en-US"/>
        </w:rPr>
        <w:t>是一门工程型新兴金融学科，其最终目的是设计出符合客户特定需要的新型金融产品的服务过程。此过程不仅包括金融产品的设计，还包括金融产品的定价、交易策略设计、金融风险管理等各个方面。本课程内容分为三大模块：1. 基本理论：</w:t>
      </w:r>
      <w:r w:rsidRPr="00885762">
        <w:rPr>
          <w:rFonts w:cs="Times New Roman" w:hint="eastAsia"/>
          <w:sz w:val="21"/>
          <w:lang w:val="en-US"/>
        </w:rPr>
        <w:t>无套利均衡</w:t>
      </w:r>
      <w:r w:rsidRPr="00885762">
        <w:rPr>
          <w:rFonts w:cs="Times New Roman"/>
          <w:sz w:val="21"/>
          <w:lang w:val="en-US"/>
        </w:rPr>
        <w:t>理论、</w:t>
      </w:r>
      <w:r w:rsidRPr="00885762">
        <w:rPr>
          <w:rFonts w:cs="Times New Roman" w:hint="eastAsia"/>
          <w:sz w:val="21"/>
          <w:lang w:val="en-US"/>
        </w:rPr>
        <w:t>风险中性理论、</w:t>
      </w:r>
      <w:r w:rsidRPr="00885762">
        <w:rPr>
          <w:rFonts w:cs="Times New Roman"/>
          <w:sz w:val="21"/>
          <w:lang w:val="en-US"/>
        </w:rPr>
        <w:t>有效市场假说。2. 金融衍生工具的定价及其交易策略：远期价格、远期外汇协议、远期利率协议；短期利率期货、中长期利率期货、股指期货；互换及其定价；期权的价值分析、二叉树及Black-Scholes期权定价模型、期权的交易策略。3. 金融工程应用——实验环节：期货</w:t>
      </w:r>
      <w:r w:rsidRPr="00885762">
        <w:rPr>
          <w:rFonts w:cs="Times New Roman" w:hint="eastAsia"/>
          <w:sz w:val="21"/>
          <w:lang w:val="en-US"/>
        </w:rPr>
        <w:t>综合模拟实验</w:t>
      </w:r>
      <w:r w:rsidRPr="00885762">
        <w:rPr>
          <w:rFonts w:cs="Times New Roman"/>
          <w:sz w:val="21"/>
          <w:lang w:val="en-US"/>
        </w:rPr>
        <w:t>。</w:t>
      </w:r>
    </w:p>
    <w:p w:rsidR="00DD7E66" w:rsidRPr="00DD7E66" w:rsidRDefault="00DD7E66" w:rsidP="00DD7E66">
      <w:pPr>
        <w:snapToGrid w:val="0"/>
        <w:spacing w:line="400" w:lineRule="exact"/>
        <w:ind w:firstLine="420"/>
        <w:rPr>
          <w:rFonts w:ascii="宋体" w:hAnsi="宋体"/>
          <w:color w:val="000000"/>
          <w:szCs w:val="21"/>
        </w:rPr>
      </w:pPr>
      <w:r w:rsidRPr="00DD7E66">
        <w:rPr>
          <w:rFonts w:ascii="宋体" w:hAnsi="宋体"/>
          <w:color w:val="000000"/>
          <w:szCs w:val="21"/>
        </w:rPr>
        <w:lastRenderedPageBreak/>
        <w:t xml:space="preserve">8. </w:t>
      </w:r>
      <w:r w:rsidRPr="00DD7E66">
        <w:rPr>
          <w:rFonts w:ascii="宋体" w:hAnsi="宋体" w:hint="eastAsia"/>
          <w:color w:val="000000"/>
          <w:szCs w:val="21"/>
        </w:rPr>
        <w:t>量化</w:t>
      </w:r>
      <w:r w:rsidRPr="00DD7E66">
        <w:rPr>
          <w:rFonts w:ascii="宋体" w:hAnsi="宋体"/>
          <w:color w:val="000000"/>
          <w:szCs w:val="21"/>
        </w:rPr>
        <w:t>投资</w:t>
      </w:r>
    </w:p>
    <w:p w:rsidR="00DD7E66" w:rsidRPr="00885762" w:rsidRDefault="00DD7E66" w:rsidP="00DD7E66">
      <w:pPr>
        <w:pStyle w:val="TableParagraph"/>
        <w:spacing w:line="440" w:lineRule="exact"/>
        <w:ind w:left="108" w:right="51" w:firstLine="482"/>
        <w:jc w:val="both"/>
        <w:rPr>
          <w:rFonts w:cs="Times New Roman"/>
          <w:sz w:val="21"/>
          <w:lang w:val="en-US"/>
        </w:rPr>
      </w:pPr>
      <w:r w:rsidRPr="00885762">
        <w:rPr>
          <w:rFonts w:cs="Times New Roman" w:hint="eastAsia"/>
          <w:sz w:val="21"/>
          <w:lang w:val="en-US"/>
        </w:rPr>
        <w:t>本课程从理论和实践两方面阐述了常用的量化投资策略与方法及支持量化投资的数学工具。以启发式、研究式教学，使学生在课程学习中充分理解量化投资的内涵，掌握量化投资的基本理论与方法，培养学生运用量化投资策略的手段应对金融投资领域问题的能力，为后续进一步深入研究投资策略以及进行投资实践活动，提供必要的理论知识基础。课程主要内容包括量化选股、量化择时、金融科技驱动的交易策略、量化投资案例研讨等。</w:t>
      </w:r>
    </w:p>
    <w:p w:rsidR="00D47404" w:rsidRDefault="00C630F9">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五、下学期开设课程</w:t>
      </w:r>
    </w:p>
    <w:tbl>
      <w:tblPr>
        <w:tblW w:w="7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1559"/>
        <w:gridCol w:w="1276"/>
        <w:gridCol w:w="709"/>
        <w:gridCol w:w="992"/>
        <w:gridCol w:w="709"/>
        <w:gridCol w:w="709"/>
      </w:tblGrid>
      <w:tr w:rsidR="00D47404">
        <w:trPr>
          <w:trHeight w:val="1560"/>
        </w:trPr>
        <w:tc>
          <w:tcPr>
            <w:tcW w:w="1956"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课</w:t>
            </w:r>
            <w:r>
              <w:rPr>
                <w:b/>
                <w:bCs/>
                <w:color w:val="000000"/>
                <w:kern w:val="0"/>
                <w:sz w:val="20"/>
              </w:rPr>
              <w:t xml:space="preserve"> </w:t>
            </w:r>
            <w:r>
              <w:rPr>
                <w:rFonts w:ascii="宋体" w:hAnsi="宋体" w:cs="宋体" w:hint="eastAsia"/>
                <w:b/>
                <w:bCs/>
                <w:color w:val="000000"/>
                <w:kern w:val="0"/>
                <w:sz w:val="20"/>
              </w:rPr>
              <w:t>程</w:t>
            </w:r>
            <w:r>
              <w:rPr>
                <w:b/>
                <w:bCs/>
                <w:color w:val="000000"/>
                <w:kern w:val="0"/>
                <w:sz w:val="20"/>
              </w:rPr>
              <w:t xml:space="preserve"> </w:t>
            </w:r>
            <w:r>
              <w:rPr>
                <w:rFonts w:ascii="宋体" w:hAnsi="宋体" w:cs="宋体" w:hint="eastAsia"/>
                <w:b/>
                <w:bCs/>
                <w:color w:val="000000"/>
                <w:kern w:val="0"/>
                <w:sz w:val="20"/>
              </w:rPr>
              <w:t>名</w:t>
            </w:r>
            <w:r>
              <w:rPr>
                <w:b/>
                <w:bCs/>
                <w:color w:val="000000"/>
                <w:kern w:val="0"/>
                <w:sz w:val="20"/>
              </w:rPr>
              <w:t xml:space="preserve"> </w:t>
            </w:r>
            <w:r>
              <w:rPr>
                <w:rFonts w:ascii="宋体" w:hAnsi="宋体" w:cs="宋体" w:hint="eastAsia"/>
                <w:b/>
                <w:bCs/>
                <w:color w:val="000000"/>
                <w:kern w:val="0"/>
                <w:sz w:val="20"/>
              </w:rPr>
              <w:t>称</w:t>
            </w:r>
          </w:p>
        </w:tc>
        <w:tc>
          <w:tcPr>
            <w:tcW w:w="1559"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课程编号</w:t>
            </w:r>
          </w:p>
        </w:tc>
        <w:tc>
          <w:tcPr>
            <w:tcW w:w="1276"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课程性质</w:t>
            </w:r>
          </w:p>
        </w:tc>
        <w:tc>
          <w:tcPr>
            <w:tcW w:w="709"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学分要求</w:t>
            </w:r>
          </w:p>
        </w:tc>
        <w:tc>
          <w:tcPr>
            <w:tcW w:w="992"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总学时</w:t>
            </w:r>
          </w:p>
        </w:tc>
        <w:tc>
          <w:tcPr>
            <w:tcW w:w="709"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理论学时</w:t>
            </w:r>
          </w:p>
        </w:tc>
        <w:tc>
          <w:tcPr>
            <w:tcW w:w="709" w:type="dxa"/>
            <w:shd w:val="clear" w:color="auto" w:fill="auto"/>
            <w:vAlign w:val="center"/>
          </w:tcPr>
          <w:p w:rsidR="00D47404" w:rsidRDefault="00C630F9">
            <w:pPr>
              <w:widowControl/>
              <w:jc w:val="center"/>
              <w:rPr>
                <w:rFonts w:ascii="宋体" w:hAnsi="宋体" w:cs="宋体"/>
                <w:b/>
                <w:bCs/>
                <w:color w:val="000000"/>
                <w:kern w:val="0"/>
                <w:sz w:val="20"/>
              </w:rPr>
            </w:pPr>
            <w:r>
              <w:rPr>
                <w:rFonts w:ascii="宋体" w:hAnsi="宋体" w:cs="宋体" w:hint="eastAsia"/>
                <w:b/>
                <w:bCs/>
                <w:color w:val="000000"/>
                <w:kern w:val="0"/>
                <w:sz w:val="20"/>
              </w:rPr>
              <w:t>实践学时</w:t>
            </w:r>
          </w:p>
        </w:tc>
      </w:tr>
      <w:tr w:rsidR="00DD7E66">
        <w:trPr>
          <w:trHeight w:val="675"/>
        </w:trPr>
        <w:tc>
          <w:tcPr>
            <w:tcW w:w="1956" w:type="dxa"/>
            <w:shd w:val="clear" w:color="auto" w:fill="auto"/>
            <w:vAlign w:val="center"/>
          </w:tcPr>
          <w:p w:rsidR="00DD7E66" w:rsidRPr="00A259C3" w:rsidRDefault="00DD7E66" w:rsidP="00DD7E66">
            <w:pPr>
              <w:widowControl/>
              <w:jc w:val="center"/>
              <w:rPr>
                <w:rFonts w:cs="宋体"/>
                <w:kern w:val="0"/>
                <w:sz w:val="20"/>
              </w:rPr>
            </w:pPr>
            <w:r w:rsidRPr="00A259C3">
              <w:rPr>
                <w:rFonts w:cs="宋体" w:hint="eastAsia"/>
                <w:kern w:val="0"/>
                <w:sz w:val="20"/>
              </w:rPr>
              <w:t>金融学</w:t>
            </w:r>
          </w:p>
        </w:tc>
        <w:tc>
          <w:tcPr>
            <w:tcW w:w="1559" w:type="dxa"/>
            <w:shd w:val="clear" w:color="auto" w:fill="auto"/>
            <w:vAlign w:val="center"/>
          </w:tcPr>
          <w:p w:rsidR="00DD7E66" w:rsidRPr="00885762" w:rsidRDefault="00DD7E66" w:rsidP="00DD7E66">
            <w:pPr>
              <w:widowControl/>
              <w:jc w:val="center"/>
              <w:rPr>
                <w:rFonts w:cs="宋体"/>
                <w:kern w:val="0"/>
                <w:sz w:val="20"/>
              </w:rPr>
            </w:pPr>
            <w:r w:rsidRPr="00885762">
              <w:rPr>
                <w:rFonts w:cs="宋体" w:hint="eastAsia"/>
                <w:kern w:val="0"/>
                <w:sz w:val="20"/>
              </w:rPr>
              <w:t>M303061B</w:t>
            </w:r>
          </w:p>
        </w:tc>
        <w:tc>
          <w:tcPr>
            <w:tcW w:w="1276"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hint="eastAsia"/>
                <w:kern w:val="0"/>
                <w:sz w:val="20"/>
              </w:rPr>
              <w:t>必修</w:t>
            </w:r>
          </w:p>
        </w:tc>
        <w:tc>
          <w:tcPr>
            <w:tcW w:w="709"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3</w:t>
            </w:r>
          </w:p>
        </w:tc>
        <w:tc>
          <w:tcPr>
            <w:tcW w:w="992"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48</w:t>
            </w:r>
          </w:p>
        </w:tc>
        <w:tc>
          <w:tcPr>
            <w:tcW w:w="709"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32</w:t>
            </w:r>
          </w:p>
        </w:tc>
        <w:tc>
          <w:tcPr>
            <w:tcW w:w="709"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16</w:t>
            </w:r>
          </w:p>
        </w:tc>
      </w:tr>
      <w:tr w:rsidR="00DD7E66">
        <w:trPr>
          <w:trHeight w:val="675"/>
        </w:trPr>
        <w:tc>
          <w:tcPr>
            <w:tcW w:w="1956" w:type="dxa"/>
            <w:shd w:val="clear" w:color="auto" w:fill="auto"/>
            <w:vAlign w:val="center"/>
          </w:tcPr>
          <w:p w:rsidR="00DD7E66" w:rsidRPr="00A259C3" w:rsidRDefault="00DD7E66" w:rsidP="00DD7E66">
            <w:pPr>
              <w:widowControl/>
              <w:jc w:val="center"/>
              <w:rPr>
                <w:rFonts w:cs="宋体"/>
                <w:kern w:val="0"/>
                <w:sz w:val="20"/>
              </w:rPr>
            </w:pPr>
            <w:r w:rsidRPr="00A259C3">
              <w:rPr>
                <w:rFonts w:cs="宋体" w:hint="eastAsia"/>
                <w:kern w:val="0"/>
                <w:sz w:val="20"/>
              </w:rPr>
              <w:t>金融科技学</w:t>
            </w:r>
          </w:p>
        </w:tc>
        <w:tc>
          <w:tcPr>
            <w:tcW w:w="1559" w:type="dxa"/>
            <w:shd w:val="clear" w:color="auto" w:fill="auto"/>
            <w:vAlign w:val="center"/>
          </w:tcPr>
          <w:p w:rsidR="00DD7E66" w:rsidRPr="00885762" w:rsidRDefault="00DD7E66" w:rsidP="00DD7E66">
            <w:pPr>
              <w:widowControl/>
              <w:jc w:val="center"/>
              <w:rPr>
                <w:rFonts w:cs="宋体"/>
                <w:kern w:val="0"/>
                <w:sz w:val="20"/>
              </w:rPr>
            </w:pPr>
            <w:r w:rsidRPr="00885762">
              <w:rPr>
                <w:rFonts w:cs="宋体" w:hint="eastAsia"/>
                <w:kern w:val="0"/>
                <w:sz w:val="20"/>
              </w:rPr>
              <w:t>M303072B</w:t>
            </w:r>
          </w:p>
        </w:tc>
        <w:tc>
          <w:tcPr>
            <w:tcW w:w="1276"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hint="eastAsia"/>
                <w:kern w:val="0"/>
                <w:sz w:val="20"/>
              </w:rPr>
              <w:t>必修</w:t>
            </w:r>
          </w:p>
        </w:tc>
        <w:tc>
          <w:tcPr>
            <w:tcW w:w="709"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3</w:t>
            </w:r>
          </w:p>
        </w:tc>
        <w:tc>
          <w:tcPr>
            <w:tcW w:w="992"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48</w:t>
            </w:r>
          </w:p>
        </w:tc>
        <w:tc>
          <w:tcPr>
            <w:tcW w:w="709"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40</w:t>
            </w:r>
          </w:p>
        </w:tc>
        <w:tc>
          <w:tcPr>
            <w:tcW w:w="709" w:type="dxa"/>
            <w:shd w:val="clear" w:color="auto" w:fill="auto"/>
            <w:vAlign w:val="center"/>
          </w:tcPr>
          <w:p w:rsidR="00DD7E66" w:rsidRPr="00AD7FD1" w:rsidRDefault="00DD7E66" w:rsidP="00AD7FD1">
            <w:pPr>
              <w:widowControl/>
              <w:jc w:val="center"/>
              <w:rPr>
                <w:rFonts w:ascii="宋体" w:hAnsi="宋体" w:cs="宋体"/>
                <w:kern w:val="0"/>
                <w:sz w:val="20"/>
              </w:rPr>
            </w:pPr>
            <w:r w:rsidRPr="00AD7FD1">
              <w:rPr>
                <w:rFonts w:ascii="宋体" w:hAnsi="宋体" w:cs="宋体"/>
                <w:kern w:val="0"/>
                <w:sz w:val="20"/>
              </w:rPr>
              <w:t>8</w:t>
            </w:r>
          </w:p>
        </w:tc>
      </w:tr>
    </w:tbl>
    <w:p w:rsidR="00FF128C" w:rsidRDefault="00FF128C" w:rsidP="00FF128C">
      <w:pPr>
        <w:pStyle w:val="a9"/>
        <w:spacing w:after="0" w:line="300" w:lineRule="auto"/>
        <w:ind w:leftChars="0" w:left="0" w:firstLineChars="200" w:firstLine="560"/>
        <w:rPr>
          <w:rFonts w:ascii="黑体" w:eastAsia="黑体" w:hAnsi="黑体"/>
          <w:sz w:val="28"/>
          <w:szCs w:val="28"/>
        </w:rPr>
      </w:pPr>
      <w:r>
        <w:rPr>
          <w:rFonts w:ascii="黑体" w:eastAsia="黑体" w:hAnsi="黑体" w:hint="eastAsia"/>
          <w:sz w:val="28"/>
          <w:szCs w:val="28"/>
        </w:rPr>
        <w:t>六、联系方式</w:t>
      </w:r>
    </w:p>
    <w:p w:rsidR="00FF128C" w:rsidRPr="00DD7E66" w:rsidRDefault="00DD7E66" w:rsidP="00FF128C">
      <w:pPr>
        <w:pStyle w:val="a9"/>
        <w:spacing w:after="0" w:line="300" w:lineRule="auto"/>
        <w:ind w:leftChars="0" w:left="0" w:firstLineChars="200" w:firstLine="560"/>
        <w:rPr>
          <w:rFonts w:ascii="宋体" w:hAnsi="宋体"/>
          <w:sz w:val="28"/>
          <w:szCs w:val="28"/>
        </w:rPr>
      </w:pPr>
      <w:r w:rsidRPr="00DD7E66">
        <w:rPr>
          <w:rFonts w:ascii="宋体" w:hAnsi="宋体" w:hint="eastAsia"/>
          <w:sz w:val="28"/>
          <w:szCs w:val="28"/>
        </w:rPr>
        <w:t>李老师：5</w:t>
      </w:r>
      <w:r w:rsidRPr="00DD7E66">
        <w:rPr>
          <w:rFonts w:ascii="宋体" w:hAnsi="宋体"/>
          <w:sz w:val="28"/>
          <w:szCs w:val="28"/>
        </w:rPr>
        <w:t>1688965</w:t>
      </w:r>
    </w:p>
    <w:p w:rsidR="00DD7E66" w:rsidRPr="00DD7E66" w:rsidRDefault="00DD7E66" w:rsidP="00FF128C">
      <w:pPr>
        <w:pStyle w:val="a9"/>
        <w:spacing w:after="0" w:line="300" w:lineRule="auto"/>
        <w:ind w:leftChars="0" w:left="0" w:firstLineChars="200" w:firstLine="560"/>
        <w:rPr>
          <w:rFonts w:ascii="宋体" w:hAnsi="宋体"/>
          <w:sz w:val="28"/>
          <w:szCs w:val="28"/>
        </w:rPr>
      </w:pPr>
      <w:r w:rsidRPr="00DD7E66">
        <w:rPr>
          <w:rFonts w:ascii="宋体" w:hAnsi="宋体" w:hint="eastAsia"/>
          <w:sz w:val="28"/>
          <w:szCs w:val="28"/>
        </w:rPr>
        <w:t>商老师：5</w:t>
      </w:r>
      <w:r w:rsidRPr="00DD7E66">
        <w:rPr>
          <w:rFonts w:ascii="宋体" w:hAnsi="宋体"/>
          <w:sz w:val="28"/>
          <w:szCs w:val="28"/>
        </w:rPr>
        <w:t>168704</w:t>
      </w:r>
      <w:bookmarkStart w:id="0" w:name="_GoBack"/>
      <w:bookmarkEnd w:id="0"/>
      <w:r w:rsidRPr="00DD7E66">
        <w:rPr>
          <w:rFonts w:ascii="宋体" w:hAnsi="宋体"/>
          <w:sz w:val="28"/>
          <w:szCs w:val="28"/>
        </w:rPr>
        <w:t>5</w:t>
      </w:r>
    </w:p>
    <w:p w:rsidR="00D47404" w:rsidRDefault="00D47404">
      <w:pPr>
        <w:ind w:firstLineChars="200" w:firstLine="480"/>
        <w:rPr>
          <w:rFonts w:asciiTheme="minorEastAsia" w:eastAsiaTheme="minorEastAsia" w:hAnsiTheme="minorEastAsia"/>
          <w:sz w:val="24"/>
          <w:szCs w:val="24"/>
        </w:rPr>
      </w:pPr>
    </w:p>
    <w:sectPr w:rsidR="00D474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E90" w:rsidRDefault="00827E90">
      <w:pPr>
        <w:spacing w:line="240" w:lineRule="auto"/>
      </w:pPr>
      <w:r>
        <w:separator/>
      </w:r>
    </w:p>
  </w:endnote>
  <w:endnote w:type="continuationSeparator" w:id="0">
    <w:p w:rsidR="00827E90" w:rsidRDefault="00827E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E90" w:rsidRDefault="00827E90">
      <w:r>
        <w:separator/>
      </w:r>
    </w:p>
  </w:footnote>
  <w:footnote w:type="continuationSeparator" w:id="0">
    <w:p w:rsidR="00827E90" w:rsidRDefault="00827E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7053E"/>
    <w:multiLevelType w:val="singleLevel"/>
    <w:tmpl w:val="40B7053E"/>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lNmZkODFlN2Y3Y2E2YmRkMmJkZDk4OTY4ZTk5NWMifQ=="/>
  </w:docVars>
  <w:rsids>
    <w:rsidRoot w:val="00B27485"/>
    <w:rsid w:val="00037D91"/>
    <w:rsid w:val="00063DA4"/>
    <w:rsid w:val="00080D31"/>
    <w:rsid w:val="00093269"/>
    <w:rsid w:val="000A4194"/>
    <w:rsid w:val="000C6F04"/>
    <w:rsid w:val="000E1C41"/>
    <w:rsid w:val="000E22C9"/>
    <w:rsid w:val="000F5C44"/>
    <w:rsid w:val="00142410"/>
    <w:rsid w:val="00187A95"/>
    <w:rsid w:val="00205C30"/>
    <w:rsid w:val="00254668"/>
    <w:rsid w:val="002C6901"/>
    <w:rsid w:val="002D7A39"/>
    <w:rsid w:val="002F3106"/>
    <w:rsid w:val="003215AD"/>
    <w:rsid w:val="00323E02"/>
    <w:rsid w:val="003777B6"/>
    <w:rsid w:val="00382D02"/>
    <w:rsid w:val="00383D0B"/>
    <w:rsid w:val="003A55DF"/>
    <w:rsid w:val="003C05B2"/>
    <w:rsid w:val="004302A9"/>
    <w:rsid w:val="004406EB"/>
    <w:rsid w:val="004D3C98"/>
    <w:rsid w:val="004F7BEE"/>
    <w:rsid w:val="00556E93"/>
    <w:rsid w:val="006011C6"/>
    <w:rsid w:val="006101ED"/>
    <w:rsid w:val="00671CAD"/>
    <w:rsid w:val="00676E89"/>
    <w:rsid w:val="00690E6A"/>
    <w:rsid w:val="00741064"/>
    <w:rsid w:val="007B65AD"/>
    <w:rsid w:val="007C7C13"/>
    <w:rsid w:val="007E26F0"/>
    <w:rsid w:val="007F3DA4"/>
    <w:rsid w:val="00825286"/>
    <w:rsid w:val="00827E90"/>
    <w:rsid w:val="00837BE8"/>
    <w:rsid w:val="00847F97"/>
    <w:rsid w:val="0090242D"/>
    <w:rsid w:val="00947185"/>
    <w:rsid w:val="00952180"/>
    <w:rsid w:val="00A26501"/>
    <w:rsid w:val="00A64C2B"/>
    <w:rsid w:val="00AA7A11"/>
    <w:rsid w:val="00AB56DE"/>
    <w:rsid w:val="00AD7FD1"/>
    <w:rsid w:val="00B27485"/>
    <w:rsid w:val="00B35D63"/>
    <w:rsid w:val="00B47BD6"/>
    <w:rsid w:val="00BA180A"/>
    <w:rsid w:val="00BA4D05"/>
    <w:rsid w:val="00BE1C43"/>
    <w:rsid w:val="00BF6E85"/>
    <w:rsid w:val="00C60D12"/>
    <w:rsid w:val="00C630F9"/>
    <w:rsid w:val="00C73BF2"/>
    <w:rsid w:val="00C76097"/>
    <w:rsid w:val="00CD4E1B"/>
    <w:rsid w:val="00CF4CC6"/>
    <w:rsid w:val="00D47404"/>
    <w:rsid w:val="00D8663C"/>
    <w:rsid w:val="00DD7E66"/>
    <w:rsid w:val="00DE094C"/>
    <w:rsid w:val="00DF402C"/>
    <w:rsid w:val="00DF6D5B"/>
    <w:rsid w:val="00E53DCE"/>
    <w:rsid w:val="00EA32BA"/>
    <w:rsid w:val="00ED332F"/>
    <w:rsid w:val="00EE58A8"/>
    <w:rsid w:val="00F62779"/>
    <w:rsid w:val="00FA7CD6"/>
    <w:rsid w:val="00FF128C"/>
    <w:rsid w:val="01C47B75"/>
    <w:rsid w:val="13BA6CB2"/>
    <w:rsid w:val="1B617E5D"/>
    <w:rsid w:val="32513718"/>
    <w:rsid w:val="3EE43B8E"/>
    <w:rsid w:val="480915FF"/>
    <w:rsid w:val="497C14D8"/>
    <w:rsid w:val="75FF6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010A1"/>
  <w15:docId w15:val="{D5AAA5AA-92EB-44D3-8D93-FBB4BB709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Calibri" w:eastAsia="宋体" w:hAnsi="Calibri" w:cs="Times New Roman"/>
      <w:kern w:val="2"/>
      <w:sz w:val="21"/>
      <w:szCs w:val="22"/>
    </w:rPr>
  </w:style>
  <w:style w:type="paragraph" w:styleId="1">
    <w:name w:val="heading 1"/>
    <w:basedOn w:val="a"/>
    <w:next w:val="a"/>
    <w:link w:val="10"/>
    <w:qFormat/>
    <w:pPr>
      <w:keepNext/>
      <w:keepLines/>
      <w:spacing w:before="340" w:after="330" w:line="576" w:lineRule="auto"/>
      <w:outlineLvl w:val="0"/>
    </w:pPr>
    <w:rPr>
      <w:rFonts w:cs="宋体"/>
      <w:b/>
      <w:kern w:val="44"/>
      <w:sz w:val="44"/>
      <w:szCs w:val="20"/>
    </w:rPr>
  </w:style>
  <w:style w:type="paragraph" w:styleId="2">
    <w:name w:val="heading 2"/>
    <w:basedOn w:val="a"/>
    <w:next w:val="a"/>
    <w:link w:val="20"/>
    <w:semiHidden/>
    <w:unhideWhenUsed/>
    <w:qFormat/>
    <w:pPr>
      <w:keepNext/>
      <w:keepLines/>
      <w:spacing w:before="260" w:after="260" w:line="415" w:lineRule="auto"/>
      <w:outlineLvl w:val="1"/>
    </w:pPr>
    <w:rPr>
      <w:rFonts w:ascii="Calibri Light" w:hAnsi="Calibri Light" w:cs="宋体"/>
      <w:b/>
      <w:kern w:val="0"/>
      <w:sz w:val="32"/>
      <w:szCs w:val="20"/>
    </w:rPr>
  </w:style>
  <w:style w:type="paragraph" w:styleId="3">
    <w:name w:val="heading 3"/>
    <w:basedOn w:val="a"/>
    <w:next w:val="a"/>
    <w:link w:val="30"/>
    <w:semiHidden/>
    <w:unhideWhenUsed/>
    <w:qFormat/>
    <w:pPr>
      <w:keepNext/>
      <w:keepLines/>
      <w:spacing w:before="260" w:after="260" w:line="410" w:lineRule="auto"/>
      <w:outlineLvl w:val="2"/>
    </w:pPr>
    <w:rPr>
      <w:rFonts w:ascii="Times New Roman" w:hAnsi="Times New Roman"/>
      <w:b/>
      <w:bCs/>
      <w:sz w:val="32"/>
      <w:szCs w:val="32"/>
      <w:lang w:val="zh-CN"/>
    </w:rPr>
  </w:style>
  <w:style w:type="paragraph" w:styleId="4">
    <w:name w:val="heading 4"/>
    <w:basedOn w:val="a"/>
    <w:next w:val="a"/>
    <w:link w:val="40"/>
    <w:semiHidden/>
    <w:unhideWhenUsed/>
    <w:qFormat/>
    <w:pPr>
      <w:keepNext/>
      <w:keepLines/>
      <w:spacing w:before="280" w:after="290" w:line="372" w:lineRule="auto"/>
      <w:outlineLvl w:val="3"/>
    </w:pPr>
    <w:rPr>
      <w:rFonts w:ascii="Arial" w:eastAsia="黑体" w:hAnsi="Arial"/>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semiHidden/>
    <w:unhideWhenUsed/>
    <w:qFormat/>
    <w:pPr>
      <w:shd w:val="clear" w:color="auto" w:fill="000080"/>
      <w:spacing w:line="240" w:lineRule="auto"/>
    </w:pPr>
    <w:rPr>
      <w:rFonts w:ascii="Times New Roman" w:hAnsi="Times New Roman"/>
      <w:szCs w:val="24"/>
    </w:rPr>
  </w:style>
  <w:style w:type="paragraph" w:styleId="a5">
    <w:name w:val="annotation text"/>
    <w:basedOn w:val="a"/>
    <w:link w:val="a6"/>
    <w:semiHidden/>
    <w:unhideWhenUsed/>
    <w:qFormat/>
    <w:pPr>
      <w:spacing w:line="240" w:lineRule="auto"/>
      <w:jc w:val="left"/>
    </w:pPr>
    <w:rPr>
      <w:rFonts w:ascii="Times New Roman" w:hAnsi="Times New Roman"/>
      <w:szCs w:val="24"/>
    </w:rPr>
  </w:style>
  <w:style w:type="paragraph" w:styleId="a7">
    <w:name w:val="Body Text"/>
    <w:basedOn w:val="a"/>
    <w:link w:val="a8"/>
    <w:semiHidden/>
    <w:unhideWhenUsed/>
    <w:qFormat/>
    <w:pPr>
      <w:spacing w:line="20" w:lineRule="atLeast"/>
    </w:pPr>
    <w:rPr>
      <w:rFonts w:ascii="Times New Roman" w:hAnsi="Times New Roman"/>
      <w:sz w:val="18"/>
      <w:szCs w:val="24"/>
    </w:rPr>
  </w:style>
  <w:style w:type="paragraph" w:styleId="a9">
    <w:name w:val="Body Text Indent"/>
    <w:basedOn w:val="a"/>
    <w:link w:val="aa"/>
    <w:qFormat/>
    <w:pPr>
      <w:spacing w:after="120" w:line="240" w:lineRule="auto"/>
      <w:ind w:leftChars="200" w:left="420"/>
    </w:pPr>
    <w:rPr>
      <w:rFonts w:ascii="Times New Roman" w:hAnsi="Times New Roman"/>
      <w:kern w:val="0"/>
      <w:sz w:val="24"/>
      <w:szCs w:val="20"/>
    </w:rPr>
  </w:style>
  <w:style w:type="paragraph" w:styleId="21">
    <w:name w:val="Body Text Indent 2"/>
    <w:basedOn w:val="a"/>
    <w:link w:val="22"/>
    <w:semiHidden/>
    <w:unhideWhenUsed/>
    <w:qFormat/>
    <w:pPr>
      <w:spacing w:line="240" w:lineRule="auto"/>
      <w:ind w:firstLineChars="200" w:firstLine="420"/>
    </w:pPr>
    <w:rPr>
      <w:rFonts w:ascii="Times New Roman" w:hAnsi="Times New Roman"/>
      <w:szCs w:val="24"/>
    </w:rPr>
  </w:style>
  <w:style w:type="paragraph" w:styleId="ab">
    <w:name w:val="endnote text"/>
    <w:basedOn w:val="a"/>
    <w:link w:val="ac"/>
    <w:semiHidden/>
    <w:unhideWhenUsed/>
    <w:qFormat/>
    <w:pPr>
      <w:snapToGrid w:val="0"/>
      <w:spacing w:line="240" w:lineRule="auto"/>
      <w:jc w:val="left"/>
    </w:pPr>
    <w:rPr>
      <w:rFonts w:ascii="Times New Roman" w:hAnsi="Times New Roman"/>
      <w:szCs w:val="24"/>
    </w:rPr>
  </w:style>
  <w:style w:type="paragraph" w:styleId="ad">
    <w:name w:val="Balloon Text"/>
    <w:basedOn w:val="a"/>
    <w:link w:val="ae"/>
    <w:semiHidden/>
    <w:unhideWhenUsed/>
    <w:qFormat/>
    <w:pPr>
      <w:spacing w:line="240" w:lineRule="auto"/>
    </w:pPr>
    <w:rPr>
      <w:rFonts w:ascii="Times New Roman" w:hAnsi="Times New Roman"/>
      <w:sz w:val="18"/>
      <w:szCs w:val="18"/>
    </w:rPr>
  </w:style>
  <w:style w:type="paragraph" w:styleId="af">
    <w:name w:val="footer"/>
    <w:basedOn w:val="a"/>
    <w:link w:val="af0"/>
    <w:unhideWhenUsed/>
    <w:qFormat/>
    <w:pPr>
      <w:tabs>
        <w:tab w:val="center" w:pos="4153"/>
        <w:tab w:val="right" w:pos="8306"/>
      </w:tabs>
      <w:snapToGrid w:val="0"/>
      <w:spacing w:line="240" w:lineRule="auto"/>
      <w:jc w:val="left"/>
    </w:pPr>
    <w:rPr>
      <w:kern w:val="0"/>
      <w:sz w:val="18"/>
      <w:szCs w:val="20"/>
    </w:rPr>
  </w:style>
  <w:style w:type="paragraph" w:styleId="af1">
    <w:name w:val="header"/>
    <w:basedOn w:val="a"/>
    <w:link w:val="af2"/>
    <w:unhideWhenUsed/>
    <w:qFormat/>
    <w:pPr>
      <w:pBdr>
        <w:bottom w:val="single" w:sz="6" w:space="1" w:color="auto"/>
      </w:pBdr>
      <w:tabs>
        <w:tab w:val="center" w:pos="4153"/>
        <w:tab w:val="right" w:pos="8306"/>
      </w:tabs>
      <w:snapToGrid w:val="0"/>
      <w:spacing w:line="240" w:lineRule="auto"/>
      <w:jc w:val="center"/>
    </w:pPr>
    <w:rPr>
      <w:kern w:val="0"/>
      <w:sz w:val="18"/>
      <w:szCs w:val="20"/>
    </w:rPr>
  </w:style>
  <w:style w:type="paragraph" w:styleId="af3">
    <w:name w:val="footnote text"/>
    <w:basedOn w:val="a"/>
    <w:link w:val="af4"/>
    <w:semiHidden/>
    <w:unhideWhenUsed/>
    <w:qFormat/>
    <w:pPr>
      <w:snapToGrid w:val="0"/>
      <w:spacing w:line="240" w:lineRule="auto"/>
      <w:jc w:val="left"/>
    </w:pPr>
    <w:rPr>
      <w:rFonts w:ascii="Times New Roman" w:hAnsi="Times New Roman"/>
      <w:sz w:val="18"/>
      <w:szCs w:val="18"/>
    </w:rPr>
  </w:style>
  <w:style w:type="paragraph" w:styleId="31">
    <w:name w:val="Body Text Indent 3"/>
    <w:basedOn w:val="a"/>
    <w:link w:val="32"/>
    <w:semiHidden/>
    <w:unhideWhenUsed/>
    <w:qFormat/>
    <w:pPr>
      <w:ind w:firstLineChars="200" w:firstLine="480"/>
    </w:pPr>
    <w:rPr>
      <w:rFonts w:ascii="Times New Roman" w:hAnsi="Times New Roman"/>
      <w:color w:val="FF0000"/>
      <w:sz w:val="24"/>
      <w:szCs w:val="24"/>
    </w:rPr>
  </w:style>
  <w:style w:type="paragraph" w:styleId="af5">
    <w:name w:val="annotation subject"/>
    <w:basedOn w:val="a5"/>
    <w:next w:val="a5"/>
    <w:link w:val="af6"/>
    <w:semiHidden/>
    <w:unhideWhenUsed/>
    <w:qFormat/>
    <w:rPr>
      <w:b/>
      <w:bCs/>
    </w:rPr>
  </w:style>
  <w:style w:type="character" w:customStyle="1" w:styleId="aa">
    <w:name w:val="正文文本缩进 字符"/>
    <w:basedOn w:val="a0"/>
    <w:link w:val="a9"/>
    <w:qFormat/>
    <w:rPr>
      <w:rFonts w:ascii="Times New Roman" w:eastAsia="宋体" w:hAnsi="Times New Roman" w:cs="Times New Roman"/>
      <w:kern w:val="0"/>
      <w:sz w:val="24"/>
      <w:szCs w:val="20"/>
    </w:rPr>
  </w:style>
  <w:style w:type="character" w:customStyle="1" w:styleId="10">
    <w:name w:val="标题 1 字符"/>
    <w:basedOn w:val="a0"/>
    <w:link w:val="1"/>
    <w:qFormat/>
    <w:rPr>
      <w:rFonts w:ascii="Calibri" w:eastAsia="宋体" w:hAnsi="Calibri" w:cs="宋体"/>
      <w:b/>
      <w:kern w:val="44"/>
      <w:sz w:val="44"/>
      <w:szCs w:val="20"/>
    </w:rPr>
  </w:style>
  <w:style w:type="character" w:customStyle="1" w:styleId="20">
    <w:name w:val="标题 2 字符"/>
    <w:basedOn w:val="a0"/>
    <w:link w:val="2"/>
    <w:semiHidden/>
    <w:qFormat/>
    <w:rPr>
      <w:rFonts w:ascii="Calibri Light" w:eastAsia="宋体" w:hAnsi="Calibri Light" w:cs="宋体"/>
      <w:b/>
      <w:kern w:val="0"/>
      <w:sz w:val="32"/>
      <w:szCs w:val="20"/>
    </w:rPr>
  </w:style>
  <w:style w:type="character" w:customStyle="1" w:styleId="30">
    <w:name w:val="标题 3 字符"/>
    <w:basedOn w:val="a0"/>
    <w:link w:val="3"/>
    <w:semiHidden/>
    <w:qFormat/>
    <w:rPr>
      <w:rFonts w:ascii="Times New Roman" w:eastAsia="宋体" w:hAnsi="Times New Roman" w:cs="Times New Roman"/>
      <w:b/>
      <w:bCs/>
      <w:sz w:val="32"/>
      <w:szCs w:val="32"/>
      <w:lang w:val="zh-CN" w:eastAsia="zh-CN"/>
    </w:rPr>
  </w:style>
  <w:style w:type="character" w:customStyle="1" w:styleId="40">
    <w:name w:val="标题 4 字符"/>
    <w:basedOn w:val="a0"/>
    <w:link w:val="4"/>
    <w:semiHidden/>
    <w:qFormat/>
    <w:rPr>
      <w:rFonts w:ascii="Arial" w:eastAsia="黑体" w:hAnsi="Arial" w:cs="Times New Roman"/>
      <w:b/>
      <w:bCs/>
      <w:sz w:val="28"/>
      <w:szCs w:val="28"/>
      <w:lang w:val="zh-CN" w:eastAsia="zh-CN"/>
    </w:rPr>
  </w:style>
  <w:style w:type="character" w:customStyle="1" w:styleId="af4">
    <w:name w:val="脚注文本 字符"/>
    <w:basedOn w:val="a0"/>
    <w:link w:val="af3"/>
    <w:semiHidden/>
    <w:qFormat/>
    <w:rPr>
      <w:rFonts w:ascii="Times New Roman" w:eastAsia="宋体" w:hAnsi="Times New Roman" w:cs="Times New Roman"/>
      <w:sz w:val="18"/>
      <w:szCs w:val="18"/>
    </w:rPr>
  </w:style>
  <w:style w:type="character" w:customStyle="1" w:styleId="a6">
    <w:name w:val="批注文字 字符"/>
    <w:basedOn w:val="a0"/>
    <w:link w:val="a5"/>
    <w:semiHidden/>
    <w:qFormat/>
    <w:rPr>
      <w:rFonts w:ascii="Times New Roman" w:eastAsia="宋体" w:hAnsi="Times New Roman" w:cs="Times New Roman"/>
      <w:szCs w:val="24"/>
    </w:rPr>
  </w:style>
  <w:style w:type="character" w:customStyle="1" w:styleId="af2">
    <w:name w:val="页眉 字符"/>
    <w:basedOn w:val="a0"/>
    <w:link w:val="af1"/>
    <w:qFormat/>
    <w:rPr>
      <w:rFonts w:ascii="Calibri" w:eastAsia="宋体" w:hAnsi="Calibri" w:cs="Times New Roman"/>
      <w:kern w:val="0"/>
      <w:sz w:val="18"/>
      <w:szCs w:val="20"/>
    </w:rPr>
  </w:style>
  <w:style w:type="character" w:customStyle="1" w:styleId="af0">
    <w:name w:val="页脚 字符"/>
    <w:basedOn w:val="a0"/>
    <w:link w:val="af"/>
    <w:qFormat/>
    <w:rPr>
      <w:rFonts w:ascii="Calibri" w:eastAsia="宋体" w:hAnsi="Calibri" w:cs="Times New Roman"/>
      <w:kern w:val="0"/>
      <w:sz w:val="18"/>
      <w:szCs w:val="20"/>
    </w:rPr>
  </w:style>
  <w:style w:type="character" w:customStyle="1" w:styleId="ac">
    <w:name w:val="尾注文本 字符"/>
    <w:basedOn w:val="a0"/>
    <w:link w:val="ab"/>
    <w:semiHidden/>
    <w:qFormat/>
    <w:rPr>
      <w:rFonts w:ascii="Times New Roman" w:eastAsia="宋体" w:hAnsi="Times New Roman" w:cs="Times New Roman"/>
      <w:szCs w:val="24"/>
    </w:rPr>
  </w:style>
  <w:style w:type="character" w:customStyle="1" w:styleId="a8">
    <w:name w:val="正文文本 字符"/>
    <w:basedOn w:val="a0"/>
    <w:link w:val="a7"/>
    <w:semiHidden/>
    <w:qFormat/>
    <w:rPr>
      <w:rFonts w:ascii="Times New Roman" w:eastAsia="宋体" w:hAnsi="Times New Roman" w:cs="Times New Roman"/>
      <w:sz w:val="18"/>
      <w:szCs w:val="24"/>
    </w:rPr>
  </w:style>
  <w:style w:type="character" w:customStyle="1" w:styleId="22">
    <w:name w:val="正文文本缩进 2 字符"/>
    <w:basedOn w:val="a0"/>
    <w:link w:val="21"/>
    <w:semiHidden/>
    <w:qFormat/>
    <w:rPr>
      <w:rFonts w:ascii="Times New Roman" w:eastAsia="宋体" w:hAnsi="Times New Roman" w:cs="Times New Roman"/>
      <w:szCs w:val="24"/>
    </w:rPr>
  </w:style>
  <w:style w:type="character" w:customStyle="1" w:styleId="32">
    <w:name w:val="正文文本缩进 3 字符"/>
    <w:basedOn w:val="a0"/>
    <w:link w:val="31"/>
    <w:semiHidden/>
    <w:qFormat/>
    <w:rPr>
      <w:rFonts w:ascii="Times New Roman" w:eastAsia="宋体" w:hAnsi="Times New Roman" w:cs="Times New Roman"/>
      <w:color w:val="FF0000"/>
      <w:sz w:val="24"/>
      <w:szCs w:val="24"/>
    </w:rPr>
  </w:style>
  <w:style w:type="character" w:customStyle="1" w:styleId="a4">
    <w:name w:val="文档结构图 字符"/>
    <w:basedOn w:val="a0"/>
    <w:link w:val="a3"/>
    <w:semiHidden/>
    <w:qFormat/>
    <w:rPr>
      <w:rFonts w:ascii="Times New Roman" w:eastAsia="宋体" w:hAnsi="Times New Roman" w:cs="Times New Roman"/>
      <w:szCs w:val="24"/>
      <w:shd w:val="clear" w:color="auto" w:fill="000080"/>
    </w:rPr>
  </w:style>
  <w:style w:type="character" w:customStyle="1" w:styleId="af6">
    <w:name w:val="批注主题 字符"/>
    <w:basedOn w:val="a6"/>
    <w:link w:val="af5"/>
    <w:semiHidden/>
    <w:qFormat/>
    <w:rPr>
      <w:rFonts w:ascii="Times New Roman" w:eastAsia="宋体" w:hAnsi="Times New Roman" w:cs="Times New Roman"/>
      <w:b/>
      <w:bCs/>
      <w:szCs w:val="24"/>
    </w:rPr>
  </w:style>
  <w:style w:type="character" w:customStyle="1" w:styleId="ae">
    <w:name w:val="批注框文本 字符"/>
    <w:basedOn w:val="a0"/>
    <w:link w:val="ad"/>
    <w:semiHidden/>
    <w:qFormat/>
    <w:rPr>
      <w:rFonts w:ascii="Times New Roman" w:eastAsia="宋体" w:hAnsi="Times New Roman" w:cs="Times New Roman"/>
      <w:sz w:val="18"/>
      <w:szCs w:val="18"/>
    </w:rPr>
  </w:style>
  <w:style w:type="character" w:customStyle="1" w:styleId="Char1">
    <w:name w:val="脚注文本 Char1"/>
    <w:basedOn w:val="a0"/>
    <w:uiPriority w:val="99"/>
    <w:semiHidden/>
    <w:qFormat/>
    <w:rPr>
      <w:sz w:val="18"/>
      <w:szCs w:val="18"/>
    </w:rPr>
  </w:style>
  <w:style w:type="character" w:customStyle="1" w:styleId="Char10">
    <w:name w:val="批注文字 Char1"/>
    <w:basedOn w:val="a0"/>
    <w:uiPriority w:val="99"/>
    <w:semiHidden/>
    <w:qFormat/>
  </w:style>
  <w:style w:type="character" w:customStyle="1" w:styleId="Char11">
    <w:name w:val="尾注文本 Char1"/>
    <w:basedOn w:val="a0"/>
    <w:uiPriority w:val="99"/>
    <w:semiHidden/>
    <w:qFormat/>
  </w:style>
  <w:style w:type="character" w:customStyle="1" w:styleId="Char12">
    <w:name w:val="正文文本 Char1"/>
    <w:basedOn w:val="a0"/>
    <w:uiPriority w:val="99"/>
    <w:semiHidden/>
    <w:qFormat/>
  </w:style>
  <w:style w:type="character" w:customStyle="1" w:styleId="2Char1">
    <w:name w:val="正文文本缩进 2 Char1"/>
    <w:basedOn w:val="a0"/>
    <w:uiPriority w:val="99"/>
    <w:semiHidden/>
    <w:qFormat/>
  </w:style>
  <w:style w:type="character" w:customStyle="1" w:styleId="3Char1">
    <w:name w:val="正文文本缩进 3 Char1"/>
    <w:basedOn w:val="a0"/>
    <w:uiPriority w:val="99"/>
    <w:semiHidden/>
    <w:qFormat/>
    <w:rPr>
      <w:sz w:val="16"/>
      <w:szCs w:val="16"/>
    </w:rPr>
  </w:style>
  <w:style w:type="character" w:customStyle="1" w:styleId="Char13">
    <w:name w:val="文档结构图 Char1"/>
    <w:basedOn w:val="a0"/>
    <w:uiPriority w:val="99"/>
    <w:semiHidden/>
    <w:qFormat/>
    <w:rPr>
      <w:rFonts w:ascii="Microsoft YaHei UI" w:eastAsia="Microsoft YaHei UI" w:hAnsi="Microsoft YaHei UI" w:hint="eastAsia"/>
      <w:sz w:val="18"/>
      <w:szCs w:val="18"/>
    </w:rPr>
  </w:style>
  <w:style w:type="character" w:customStyle="1" w:styleId="Char14">
    <w:name w:val="批注主题 Char1"/>
    <w:basedOn w:val="Char10"/>
    <w:uiPriority w:val="99"/>
    <w:semiHidden/>
    <w:qFormat/>
    <w:rPr>
      <w:b/>
      <w:bCs/>
    </w:rPr>
  </w:style>
  <w:style w:type="character" w:customStyle="1" w:styleId="Char15">
    <w:name w:val="批注框文本 Char1"/>
    <w:basedOn w:val="a0"/>
    <w:uiPriority w:val="99"/>
    <w:semiHidden/>
    <w:qFormat/>
    <w:rPr>
      <w:sz w:val="18"/>
      <w:szCs w:val="18"/>
    </w:rPr>
  </w:style>
  <w:style w:type="paragraph" w:customStyle="1" w:styleId="TableParagraph">
    <w:name w:val="Table Paragraph"/>
    <w:basedOn w:val="a"/>
    <w:uiPriority w:val="1"/>
    <w:qFormat/>
    <w:rsid w:val="00DD7E66"/>
    <w:pPr>
      <w:autoSpaceDE w:val="0"/>
      <w:autoSpaceDN w:val="0"/>
      <w:spacing w:line="240" w:lineRule="auto"/>
      <w:jc w:val="left"/>
    </w:pPr>
    <w:rPr>
      <w:rFonts w:ascii="宋体" w:hAnsi="宋体" w:cs="宋体"/>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533</Words>
  <Characters>3039</Characters>
  <Application>Microsoft Office Word</Application>
  <DocSecurity>0</DocSecurity>
  <Lines>25</Lines>
  <Paragraphs>7</Paragraphs>
  <ScaleCrop>false</ScaleCrop>
  <Company>Lenovo</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guwenqiao</dc:creator>
  <cp:lastModifiedBy>lenovo</cp:lastModifiedBy>
  <cp:revision>18</cp:revision>
  <dcterms:created xsi:type="dcterms:W3CDTF">2022-06-15T06:43:00Z</dcterms:created>
  <dcterms:modified xsi:type="dcterms:W3CDTF">2025-07-03T02:00:00Z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714AAB2C22CE45509BBCD518760F7F04_12</vt:lpwstr>
  </property>
  <property fmtid="{D5CDD505-2E9C-101B-9397-08002B2CF9AE}" pid="4" name="KSOTemplateDocerSaveRecord">
    <vt:lpwstr>eyJoZGlkIjoiYTBlNmZkODFlN2Y3Y2E2YmRkMmJkZDk4OTY4ZTk5NWMiLCJ1c2VySWQiOiIyNDI0MDE3OTIifQ==</vt:lpwstr>
  </property>
</Properties>
</file>